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14E38" w14:textId="0C108A92" w:rsidR="007F162A" w:rsidRPr="003346C1" w:rsidRDefault="007F162A" w:rsidP="007F162A">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3346C1">
        <w:rPr>
          <w:rFonts w:eastAsia="MS Mincho" w:cs="Arial"/>
          <w:kern w:val="0"/>
          <w:sz w:val="24"/>
          <w:lang w:val="en-US" w:eastAsia="en-US"/>
        </w:rPr>
        <w:t>3GPP TSG-RAN1 NB-IOT Ad Hoc</w:t>
      </w:r>
      <w:r w:rsidRPr="003346C1">
        <w:rPr>
          <w:rFonts w:eastAsia="MS Mincho" w:cs="Arial"/>
          <w:kern w:val="0"/>
          <w:sz w:val="24"/>
          <w:lang w:val="en-US" w:eastAsia="en-US"/>
        </w:rPr>
        <w:tab/>
        <w:t>R1-160093</w:t>
      </w:r>
    </w:p>
    <w:p w14:paraId="46F2892B" w14:textId="77777777" w:rsidR="007F162A" w:rsidRPr="003346C1" w:rsidRDefault="007F162A" w:rsidP="007F162A">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3346C1">
        <w:rPr>
          <w:rFonts w:eastAsia="MS Mincho" w:cs="Arial"/>
          <w:kern w:val="0"/>
          <w:sz w:val="24"/>
          <w:lang w:val="en-US" w:eastAsia="en-US"/>
        </w:rPr>
        <w:t>18-20 January 2016</w:t>
      </w:r>
    </w:p>
    <w:p w14:paraId="586D411C" w14:textId="16C37472" w:rsidR="00BD21BC" w:rsidRDefault="007F162A" w:rsidP="003346C1">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3346C1">
        <w:rPr>
          <w:rFonts w:eastAsia="MS Mincho" w:cs="Arial"/>
          <w:kern w:val="0"/>
          <w:sz w:val="24"/>
          <w:lang w:val="en-US" w:eastAsia="en-US"/>
        </w:rPr>
        <w:t xml:space="preserve">Budapest, </w:t>
      </w:r>
      <w:r>
        <w:rPr>
          <w:rFonts w:eastAsia="MS Mincho" w:cs="Arial"/>
          <w:kern w:val="0"/>
          <w:sz w:val="24"/>
          <w:lang w:val="en-US" w:eastAsia="en-US"/>
        </w:rPr>
        <w:t>Hungary</w:t>
      </w:r>
    </w:p>
    <w:p w14:paraId="6356F834" w14:textId="77777777" w:rsidR="003346C1" w:rsidRPr="003346C1" w:rsidRDefault="003346C1" w:rsidP="003346C1">
      <w:pPr>
        <w:pStyle w:val="Title"/>
        <w:tabs>
          <w:tab w:val="left" w:pos="709"/>
          <w:tab w:val="right" w:pos="9639"/>
        </w:tabs>
        <w:wordWrap w:val="0"/>
        <w:spacing w:before="0" w:after="0"/>
        <w:ind w:right="600"/>
        <w:jc w:val="both"/>
        <w:outlineLvl w:val="9"/>
        <w:rPr>
          <w:rFonts w:eastAsia="MS Mincho" w:cs="Arial"/>
          <w:kern w:val="0"/>
          <w:sz w:val="24"/>
          <w:lang w:val="en-US" w:eastAsia="en-US"/>
        </w:rPr>
      </w:pPr>
      <w:bookmarkStart w:id="0" w:name="_GoBack"/>
      <w:bookmarkEnd w:id="0"/>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1E68A025"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Pr="00BD21BC">
        <w:rPr>
          <w:rFonts w:cs="Arial"/>
          <w:b/>
          <w:sz w:val="24"/>
          <w:lang w:val="en-US" w:eastAsia="ja-JP"/>
        </w:rPr>
        <w:t>N</w:t>
      </w:r>
      <w:r w:rsidR="00DE35EB">
        <w:rPr>
          <w:rFonts w:cs="Arial"/>
          <w:b/>
          <w:sz w:val="24"/>
          <w:lang w:val="en-US" w:eastAsia="ja-JP"/>
        </w:rPr>
        <w:t>B-</w:t>
      </w:r>
      <w:r w:rsidR="001F6DF3">
        <w:rPr>
          <w:rFonts w:cs="Arial"/>
          <w:b/>
          <w:sz w:val="24"/>
          <w:lang w:val="en-US" w:eastAsia="ja-JP"/>
        </w:rPr>
        <w:t>IoT</w:t>
      </w:r>
      <w:r w:rsidR="00DE35EB">
        <w:rPr>
          <w:rFonts w:cs="Arial"/>
          <w:b/>
          <w:sz w:val="24"/>
          <w:lang w:val="en-US" w:eastAsia="ja-JP"/>
        </w:rPr>
        <w:t xml:space="preserve"> - </w:t>
      </w:r>
      <w:r w:rsidR="004E181A">
        <w:rPr>
          <w:rFonts w:cs="Arial"/>
          <w:b/>
          <w:sz w:val="24"/>
          <w:lang w:val="en-US" w:eastAsia="ja-JP"/>
        </w:rPr>
        <w:t>Design Considerations for</w:t>
      </w:r>
      <w:r w:rsidR="00895096">
        <w:rPr>
          <w:rFonts w:cs="Arial"/>
          <w:b/>
          <w:sz w:val="24"/>
          <w:lang w:val="en-US" w:eastAsia="ja-JP"/>
        </w:rPr>
        <w:t xml:space="preserve"> </w:t>
      </w:r>
      <w:r w:rsidR="00CD7F35">
        <w:rPr>
          <w:rFonts w:cs="Arial"/>
          <w:b/>
          <w:sz w:val="24"/>
          <w:lang w:val="en-US" w:eastAsia="ja-JP"/>
        </w:rPr>
        <w:t xml:space="preserve">Single Tone Frequency </w:t>
      </w:r>
      <w:r w:rsidR="004E181A">
        <w:rPr>
          <w:rFonts w:cs="Arial"/>
          <w:b/>
          <w:sz w:val="24"/>
          <w:lang w:val="en-US" w:eastAsia="ja-JP"/>
        </w:rPr>
        <w:t>Hopped</w:t>
      </w:r>
      <w:r w:rsidR="00895096">
        <w:rPr>
          <w:rFonts w:cs="Arial"/>
          <w:b/>
          <w:sz w:val="24"/>
          <w:lang w:val="en-US" w:eastAsia="ja-JP"/>
        </w:rPr>
        <w:t xml:space="preserve"> </w:t>
      </w:r>
      <w:r w:rsidR="00642468">
        <w:rPr>
          <w:rFonts w:cs="Arial"/>
          <w:b/>
          <w:sz w:val="24"/>
          <w:lang w:val="en-US" w:eastAsia="ja-JP"/>
        </w:rPr>
        <w:t>NB-PRACH</w:t>
      </w:r>
      <w:r w:rsidR="00895096">
        <w:rPr>
          <w:rFonts w:cs="Arial"/>
          <w:b/>
          <w:sz w:val="24"/>
          <w:lang w:val="en-US" w:eastAsia="ja-JP"/>
        </w:rPr>
        <w:t xml:space="preserve"> </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511E36DD" w:rsidR="00A675B4" w:rsidRPr="00DF438D" w:rsidRDefault="00BD21BC" w:rsidP="00BD21BC">
      <w:pPr>
        <w:keepNext/>
        <w:tabs>
          <w:tab w:val="left" w:pos="2552"/>
        </w:tabs>
        <w:rPr>
          <w:lang w:val="en-US"/>
        </w:rPr>
      </w:pPr>
      <w:r w:rsidRPr="003346C1">
        <w:rPr>
          <w:rFonts w:cs="Arial"/>
          <w:b/>
          <w:sz w:val="24"/>
          <w:lang w:val="en-US"/>
        </w:rPr>
        <w:t xml:space="preserve">Agenda Item:         </w:t>
      </w:r>
      <w:r w:rsidRPr="003346C1">
        <w:rPr>
          <w:rFonts w:cs="Arial"/>
          <w:b/>
          <w:sz w:val="24"/>
          <w:lang w:val="en-US"/>
        </w:rPr>
        <w:tab/>
      </w:r>
      <w:r w:rsidR="003346C1" w:rsidRPr="003346C1">
        <w:rPr>
          <w:rFonts w:cs="Arial"/>
          <w:b/>
          <w:sz w:val="24"/>
          <w:lang w:val="en-US"/>
        </w:rPr>
        <w:t>2.1.2.2</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16C3BD15" w14:textId="4144452D" w:rsidR="0052438A" w:rsidRPr="004B486D"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NarrowBand IOT (NB-I</w:t>
      </w:r>
      <w:r w:rsidR="00A546B8">
        <w:rPr>
          <w:i/>
          <w:lang w:val="en-US"/>
        </w:rPr>
        <w:t>o</w:t>
      </w:r>
      <w:r w:rsidRPr="00D9057B">
        <w:rPr>
          <w:i/>
          <w:lang w:val="en-US"/>
        </w:rPr>
        <w:t>T)</w:t>
      </w:r>
      <w:r>
        <w:rPr>
          <w:lang w:val="en-US"/>
        </w:rPr>
        <w:t xml:space="preserve"> was approved, see</w:t>
      </w:r>
      <w:r w:rsidR="00594E36">
        <w:rPr>
          <w:lang w:val="en-US"/>
        </w:rPr>
        <w:t xml:space="preserve"> </w:t>
      </w:r>
      <w:r w:rsidR="009700FD">
        <w:rPr>
          <w:lang w:val="en-US"/>
        </w:rPr>
        <w:fldChar w:fldCharType="begin"/>
      </w:r>
      <w:r w:rsidR="009700FD">
        <w:rPr>
          <w:lang w:val="en-US"/>
        </w:rPr>
        <w:instrText xml:space="preserve"> REF _Ref433894019 \r \h </w:instrText>
      </w:r>
      <w:r w:rsidR="009700FD">
        <w:rPr>
          <w:lang w:val="en-US"/>
        </w:rPr>
      </w:r>
      <w:r w:rsidR="009700FD">
        <w:rPr>
          <w:lang w:val="en-US"/>
        </w:rPr>
        <w:fldChar w:fldCharType="separate"/>
      </w:r>
      <w:r w:rsidR="007D0DD5">
        <w:rPr>
          <w:lang w:val="en-US"/>
        </w:rPr>
        <w:t>[1]</w:t>
      </w:r>
      <w:r w:rsidR="009700FD">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6E398E9D" w14:textId="77777777" w:rsidR="0052438A" w:rsidRPr="004B486D" w:rsidRDefault="0052438A" w:rsidP="0052438A">
      <w:pPr>
        <w:pStyle w:val="BodyText"/>
        <w:rPr>
          <w:lang w:val="en-US"/>
        </w:rPr>
      </w:pPr>
      <w:r w:rsidRPr="004B486D">
        <w:rPr>
          <w:lang w:val="en-US"/>
        </w:rPr>
        <w:t xml:space="preserve">NB-IOT should support 3 different modes of operation: </w:t>
      </w:r>
    </w:p>
    <w:p w14:paraId="312121E2" w14:textId="77777777" w:rsidR="0052438A" w:rsidRPr="004B486D" w:rsidRDefault="0052438A" w:rsidP="0052438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5F1DB6E3" w14:textId="77777777" w:rsidR="0052438A" w:rsidRPr="004B486D" w:rsidRDefault="0052438A" w:rsidP="0052438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11FE0FDD" w14:textId="77777777" w:rsidR="0052438A" w:rsidRDefault="0052438A" w:rsidP="0052438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35FA2DDE" w14:textId="2EF95F29" w:rsidR="00DD2156" w:rsidRPr="000A105F" w:rsidRDefault="00570767" w:rsidP="00792345">
      <w:pPr>
        <w:pStyle w:val="BodyText"/>
        <w:rPr>
          <w:highlight w:val="yellow"/>
        </w:rPr>
      </w:pPr>
      <w:r w:rsidRPr="003346C1">
        <w:t>In RAN#70</w:t>
      </w:r>
      <w:r w:rsidR="00DD2156" w:rsidRPr="003346C1">
        <w:t xml:space="preserve">, the following items have been </w:t>
      </w:r>
      <w:r w:rsidRPr="003346C1">
        <w:t xml:space="preserve">agreed </w:t>
      </w:r>
      <w:r w:rsidR="00DD2156" w:rsidRPr="003346C1">
        <w:fldChar w:fldCharType="begin"/>
      </w:r>
      <w:r w:rsidR="00DD2156" w:rsidRPr="003346C1">
        <w:instrText xml:space="preserve"> REF _Ref436223503 \r \h </w:instrText>
      </w:r>
      <w:r w:rsidR="000A105F" w:rsidRPr="003346C1">
        <w:instrText xml:space="preserve"> \* MERGEFORMAT </w:instrText>
      </w:r>
      <w:r w:rsidR="00DD2156" w:rsidRPr="003346C1">
        <w:fldChar w:fldCharType="separate"/>
      </w:r>
      <w:r w:rsidR="007D0DD5" w:rsidRPr="003346C1">
        <w:t>[2]</w:t>
      </w:r>
      <w:r w:rsidR="00DD2156" w:rsidRPr="003346C1">
        <w:fldChar w:fldCharType="end"/>
      </w:r>
      <w:r w:rsidR="00DD2156" w:rsidRPr="003346C1">
        <w:t>.</w:t>
      </w:r>
    </w:p>
    <w:p w14:paraId="71A7351F" w14:textId="77777777" w:rsidR="00570767" w:rsidRDefault="00570767" w:rsidP="00570767">
      <w:pPr>
        <w:numPr>
          <w:ilvl w:val="0"/>
          <w:numId w:val="17"/>
        </w:numPr>
        <w:spacing w:after="180"/>
        <w:ind w:right="-99"/>
        <w:jc w:val="left"/>
        <w:rPr>
          <w:bCs/>
        </w:rPr>
      </w:pPr>
      <w:r>
        <w:rPr>
          <w:bCs/>
        </w:rPr>
        <w:t>180 kHz UE RF bandwidth for both downlink and uplink</w:t>
      </w:r>
    </w:p>
    <w:p w14:paraId="36ADE318" w14:textId="77777777" w:rsidR="00570767" w:rsidRDefault="00570767" w:rsidP="00570767">
      <w:pPr>
        <w:numPr>
          <w:ilvl w:val="0"/>
          <w:numId w:val="17"/>
        </w:numPr>
        <w:spacing w:after="180"/>
        <w:ind w:right="-99"/>
        <w:jc w:val="left"/>
        <w:rPr>
          <w:bCs/>
        </w:rPr>
      </w:pPr>
      <w:r w:rsidRPr="0007668C">
        <w:rPr>
          <w:bCs/>
        </w:rPr>
        <w:t>OFDMA on the downlink</w:t>
      </w:r>
    </w:p>
    <w:p w14:paraId="47EDDAB9" w14:textId="77777777" w:rsidR="00570767" w:rsidRDefault="00570767" w:rsidP="00570767">
      <w:pPr>
        <w:numPr>
          <w:ilvl w:val="1"/>
          <w:numId w:val="17"/>
        </w:numPr>
        <w:spacing w:after="180"/>
        <w:ind w:right="-99"/>
        <w:jc w:val="left"/>
        <w:rPr>
          <w:bCs/>
        </w:rPr>
      </w:pPr>
      <w:r>
        <w:rPr>
          <w:bCs/>
        </w:rPr>
        <w:t xml:space="preserve">15 kHz sub-carrier spacing for all the modes of operation (with normal or extended CP). </w:t>
      </w:r>
    </w:p>
    <w:p w14:paraId="0AECBE3B" w14:textId="77777777" w:rsidR="00570767" w:rsidRDefault="00570767" w:rsidP="00570767">
      <w:pPr>
        <w:numPr>
          <w:ilvl w:val="0"/>
          <w:numId w:val="17"/>
        </w:numPr>
        <w:spacing w:after="180"/>
        <w:ind w:right="-99"/>
        <w:jc w:val="left"/>
        <w:rPr>
          <w:bCs/>
        </w:rPr>
      </w:pPr>
      <w:r>
        <w:rPr>
          <w:bCs/>
        </w:rPr>
        <w:t xml:space="preserve">For the uplink: </w:t>
      </w:r>
    </w:p>
    <w:p w14:paraId="374A9ACD" w14:textId="77777777" w:rsidR="00570767" w:rsidRDefault="00570767" w:rsidP="00570767">
      <w:pPr>
        <w:numPr>
          <w:ilvl w:val="1"/>
          <w:numId w:val="17"/>
        </w:numPr>
        <w:spacing w:after="180"/>
        <w:ind w:right="-99"/>
        <w:jc w:val="left"/>
        <w:rPr>
          <w:bCs/>
        </w:rPr>
      </w:pPr>
      <w:r>
        <w:rPr>
          <w:bCs/>
        </w:rPr>
        <w:t>Single tone transmissions are supported. Two numerologies should be configurable by the network for single-tone transmission: 3.75 kHz and 15 kHz. A cyclic prefix is inserted. Frequency domain sinc pulse-shaping in the physical layer description.</w:t>
      </w:r>
    </w:p>
    <w:p w14:paraId="44217B3F" w14:textId="77777777" w:rsidR="00570767" w:rsidRDefault="00570767" w:rsidP="00570767">
      <w:pPr>
        <w:numPr>
          <w:ilvl w:val="1"/>
          <w:numId w:val="17"/>
        </w:numPr>
        <w:spacing w:after="180"/>
        <w:ind w:right="-99"/>
        <w:jc w:val="left"/>
        <w:rPr>
          <w:bCs/>
        </w:rPr>
      </w:pPr>
      <w:r>
        <w:rPr>
          <w:bCs/>
        </w:rPr>
        <w:t>Multi-tone transmissions are supported, based on SC-FDMA with 15 kHz UL subcarrier spacing.</w:t>
      </w:r>
    </w:p>
    <w:p w14:paraId="5381F262" w14:textId="77777777" w:rsidR="00570767" w:rsidRDefault="00570767" w:rsidP="00570767">
      <w:pPr>
        <w:numPr>
          <w:ilvl w:val="1"/>
          <w:numId w:val="17"/>
        </w:numPr>
        <w:spacing w:after="180"/>
        <w:ind w:right="-99"/>
        <w:jc w:val="left"/>
        <w:rPr>
          <w:bCs/>
        </w:rPr>
      </w:pPr>
      <w:r>
        <w:rPr>
          <w:bCs/>
        </w:rPr>
        <w:t>FFS: Additional mechanisms for PAPR reduction.</w:t>
      </w:r>
    </w:p>
    <w:p w14:paraId="3B3C72EB" w14:textId="77777777" w:rsidR="00570767" w:rsidRDefault="00570767" w:rsidP="00570767">
      <w:pPr>
        <w:numPr>
          <w:ilvl w:val="1"/>
          <w:numId w:val="17"/>
        </w:numPr>
        <w:spacing w:after="180"/>
        <w:ind w:right="-99"/>
        <w:jc w:val="left"/>
        <w:rPr>
          <w:bCs/>
        </w:rPr>
      </w:pPr>
      <w:r>
        <w:rPr>
          <w:bCs/>
        </w:rPr>
        <w:t>The UE shall indicate the support single-tone and/or multi-tone, details to be discussed by RAN WGs</w:t>
      </w:r>
    </w:p>
    <w:p w14:paraId="0EDC032E" w14:textId="112BFFB4" w:rsidR="00BC55DF" w:rsidRDefault="00921AB6" w:rsidP="00B342A2">
      <w:pPr>
        <w:pStyle w:val="BodyText"/>
      </w:pPr>
      <w:r>
        <w:t>Current</w:t>
      </w:r>
      <w:r w:rsidR="003A35CF">
        <w:t xml:space="preserve">ly, there are two </w:t>
      </w:r>
      <w:r w:rsidR="00642468">
        <w:t>NB-PRACH</w:t>
      </w:r>
      <w:r w:rsidR="003A35CF">
        <w:t xml:space="preserve"> designs for</w:t>
      </w:r>
      <w:r w:rsidR="00A95FC3">
        <w:t xml:space="preserve"> </w:t>
      </w:r>
      <w:r w:rsidR="003A35CF">
        <w:t>NB-IoT</w:t>
      </w:r>
      <w:r w:rsidR="00A95FC3">
        <w:t xml:space="preserve"> with SC-FDMA based uplink</w:t>
      </w:r>
      <w:r>
        <w:t>: (1) Zadoff-Chu sequences based</w:t>
      </w:r>
      <w:r w:rsidR="009623A6">
        <w:t xml:space="preserve"> </w:t>
      </w:r>
      <w:r w:rsidR="00642468">
        <w:t>NB-PRACH</w:t>
      </w:r>
      <w:r>
        <w:t>, and (2)</w:t>
      </w:r>
      <w:r w:rsidR="00B7299D">
        <w:t xml:space="preserve"> single </w:t>
      </w:r>
      <w:r w:rsidR="009623A6">
        <w:t>tone</w:t>
      </w:r>
      <w:r w:rsidR="003A35CF">
        <w:t xml:space="preserve"> frequency hopped</w:t>
      </w:r>
      <w:r w:rsidR="009623A6">
        <w:t xml:space="preserve"> </w:t>
      </w:r>
      <w:r w:rsidR="00642468">
        <w:t>NB-PRACH</w:t>
      </w:r>
      <w:r w:rsidR="003E4112">
        <w:t xml:space="preserve"> </w:t>
      </w:r>
      <w:r w:rsidR="003E4112">
        <w:fldChar w:fldCharType="begin"/>
      </w:r>
      <w:r w:rsidR="003E4112">
        <w:instrText xml:space="preserve"> REF _Ref436223730 \r \h </w:instrText>
      </w:r>
      <w:r w:rsidR="003E4112">
        <w:fldChar w:fldCharType="separate"/>
      </w:r>
      <w:r w:rsidR="007D0DD5">
        <w:t>[3]</w:t>
      </w:r>
      <w:r w:rsidR="003E4112">
        <w:fldChar w:fldCharType="end"/>
      </w:r>
      <w:r w:rsidR="003A35CF">
        <w:t>.</w:t>
      </w:r>
      <w:r w:rsidR="00D814D8">
        <w:t xml:space="preserve"> </w:t>
      </w:r>
    </w:p>
    <w:p w14:paraId="2E72C4B9" w14:textId="1255A730" w:rsidR="00BC55DF" w:rsidRDefault="00642468" w:rsidP="00990218">
      <w:pPr>
        <w:pStyle w:val="BodyText"/>
        <w:numPr>
          <w:ilvl w:val="0"/>
          <w:numId w:val="14"/>
        </w:numPr>
      </w:pPr>
      <w:r>
        <w:t>NB-PRACH</w:t>
      </w:r>
      <w:r w:rsidR="00D814D8">
        <w:t xml:space="preserve"> preambles based on design (1) are used by UEs in normal and robust coverage modes to ensure high detection rate, low false alarm rate, and high uplink timing estimation accuracy. </w:t>
      </w:r>
    </w:p>
    <w:p w14:paraId="6F08B936" w14:textId="2364AC4C" w:rsidR="00D814D8" w:rsidRDefault="00642468" w:rsidP="00990218">
      <w:pPr>
        <w:pStyle w:val="BodyText"/>
        <w:numPr>
          <w:ilvl w:val="0"/>
          <w:numId w:val="14"/>
        </w:numPr>
      </w:pPr>
      <w:r>
        <w:rPr>
          <w:lang w:val="en-US" w:eastAsia="ko-KR"/>
        </w:rPr>
        <w:t>NB-PRACH</w:t>
      </w:r>
      <w:r w:rsidR="00D814D8">
        <w:rPr>
          <w:lang w:val="en-US" w:eastAsia="ko-KR"/>
        </w:rPr>
        <w:t xml:space="preserve"> preambles based on design (2) are used by UEs in extremely coverage limited locations. These preambles are constant-envelope signals, which avoid the needs for PA backoff, and thus aiming at maximizing the coverage.</w:t>
      </w:r>
    </w:p>
    <w:p w14:paraId="62E7B2AD" w14:textId="7AC81C0D" w:rsidR="00792345" w:rsidRPr="00921AB6" w:rsidRDefault="00921AB6" w:rsidP="00B342A2">
      <w:pPr>
        <w:pStyle w:val="BodyText"/>
      </w:pPr>
      <w:r>
        <w:t>In this c</w:t>
      </w:r>
      <w:r w:rsidR="003A35CF">
        <w:t>ontribution, we</w:t>
      </w:r>
      <w:r w:rsidR="009A34B1">
        <w:t xml:space="preserve"> focus on design (</w:t>
      </w:r>
      <w:r w:rsidR="0031167A">
        <w:t>2</w:t>
      </w:r>
      <w:r w:rsidR="009A34B1">
        <w:t>) and</w:t>
      </w:r>
      <w:r w:rsidR="003A35CF">
        <w:t xml:space="preserve"> d</w:t>
      </w:r>
      <w:r w:rsidR="003E4112">
        <w:t>iscuss the various design considerations</w:t>
      </w:r>
      <w:r w:rsidR="003A35CF">
        <w:t xml:space="preserve"> that should be taken into account for Zadoff-Chu sequences based NB-IoT </w:t>
      </w:r>
      <w:r w:rsidR="00642468">
        <w:t>NB-PRACH</w:t>
      </w:r>
      <w:r w:rsidR="003A35CF">
        <w:t xml:space="preserve"> design.</w:t>
      </w:r>
    </w:p>
    <w:p w14:paraId="5A297BD7" w14:textId="0BB0423A" w:rsidR="00792345" w:rsidRDefault="005A4773" w:rsidP="00792345">
      <w:pPr>
        <w:pStyle w:val="Heading1"/>
      </w:pPr>
      <w:r>
        <w:lastRenderedPageBreak/>
        <w:t>Basic</w:t>
      </w:r>
      <w:r w:rsidR="003B00A3">
        <w:t xml:space="preserve"> Design</w:t>
      </w:r>
      <w:r>
        <w:t xml:space="preserve"> Principles</w:t>
      </w:r>
    </w:p>
    <w:p w14:paraId="378B1D6D" w14:textId="30CFAAC6" w:rsidR="00384695" w:rsidRDefault="00384695" w:rsidP="00384695">
      <w:pPr>
        <w:pStyle w:val="BodyText"/>
      </w:pPr>
      <w:r>
        <w:t xml:space="preserve">In this </w:t>
      </w:r>
      <w:r w:rsidR="005B0BBC">
        <w:t>section, we revisit</w:t>
      </w:r>
      <w:r>
        <w:t xml:space="preserve"> the</w:t>
      </w:r>
      <w:r w:rsidR="00D12234">
        <w:t xml:space="preserve"> basic design principles behind the single tone frequency hopped </w:t>
      </w:r>
      <w:r w:rsidR="00642468">
        <w:t>NB-PRACH</w:t>
      </w:r>
      <w:r w:rsidR="00D12234">
        <w:t>.</w:t>
      </w:r>
      <w:r w:rsidR="006537C9">
        <w:t xml:space="preserve"> The design considerations for selecting the specific parameters are discussed in Section </w:t>
      </w:r>
      <w:r w:rsidR="006537C9">
        <w:fldChar w:fldCharType="begin"/>
      </w:r>
      <w:r w:rsidR="006537C9">
        <w:instrText xml:space="preserve"> REF _Ref436229951 \r \h </w:instrText>
      </w:r>
      <w:r w:rsidR="006537C9">
        <w:fldChar w:fldCharType="separate"/>
      </w:r>
      <w:r w:rsidR="007D0DD5">
        <w:t>3</w:t>
      </w:r>
      <w:r w:rsidR="006537C9">
        <w:fldChar w:fldCharType="end"/>
      </w:r>
      <w:r w:rsidR="006537C9">
        <w:t>.</w:t>
      </w:r>
      <w:r w:rsidR="00D12234">
        <w:t xml:space="preserve"> </w:t>
      </w:r>
    </w:p>
    <w:p w14:paraId="4BB60A57" w14:textId="42DAC2E3" w:rsidR="00D12234" w:rsidRDefault="00384695" w:rsidP="00384695">
      <w:pPr>
        <w:pStyle w:val="BodyText"/>
      </w:pPr>
      <w:r>
        <w:t>The basic idea of the design is to spread the random access preamble in time, instead of spreading it in frequency (as in</w:t>
      </w:r>
      <w:r w:rsidR="00D12234">
        <w:t xml:space="preserve"> Zadoff-Chu sequences based </w:t>
      </w:r>
      <w:r w:rsidR="00642468">
        <w:t>NB-PRACH</w:t>
      </w:r>
      <w:r>
        <w:t xml:space="preserve">). The design is </w:t>
      </w:r>
      <w:r w:rsidR="00D12234">
        <w:t>illustrated</w:t>
      </w:r>
      <w:r>
        <w:t xml:space="preserve"> in</w:t>
      </w:r>
      <w:r w:rsidR="004414AC">
        <w:t xml:space="preserve"> </w:t>
      </w:r>
      <w:r w:rsidR="004414AC">
        <w:fldChar w:fldCharType="begin"/>
      </w:r>
      <w:r w:rsidR="004414AC">
        <w:instrText xml:space="preserve"> REF _Ref436229777 \h </w:instrText>
      </w:r>
      <w:r w:rsidR="004414AC">
        <w:fldChar w:fldCharType="separate"/>
      </w:r>
      <w:r w:rsidR="007D0DD5">
        <w:t xml:space="preserve">Figure </w:t>
      </w:r>
      <w:r w:rsidR="007D0DD5">
        <w:rPr>
          <w:noProof/>
        </w:rPr>
        <w:t>1</w:t>
      </w:r>
      <w:r w:rsidR="004414AC">
        <w:fldChar w:fldCharType="end"/>
      </w:r>
      <w:r w:rsidR="006537C9">
        <w:t>. The preamble consists of L</w:t>
      </w:r>
      <w:r>
        <w:t xml:space="preserve"> symbols in ti</w:t>
      </w:r>
      <w:r w:rsidR="006537C9">
        <w:t>me and occupies one tone (of B</w:t>
      </w:r>
      <w:r>
        <w:t xml:space="preserve"> kHz) in frequency. The transmission however hops</w:t>
      </w:r>
      <w:r w:rsidR="00503BE3">
        <w:t xml:space="preserve"> from symbol to symbol</w:t>
      </w:r>
      <w:r>
        <w:t xml:space="preserve"> between two tones</w:t>
      </w:r>
      <w:r w:rsidR="00503BE3">
        <w:t xml:space="preserve"> that are</w:t>
      </w:r>
      <w:r w:rsidR="009B7EF6">
        <w:t xml:space="preserve"> D tones away from each other</w:t>
      </w:r>
      <w:r>
        <w:t>. The</w:t>
      </w:r>
      <w:r w:rsidRPr="0018239C">
        <w:t xml:space="preserve"> hopping</w:t>
      </w:r>
      <w:r>
        <w:t xml:space="preserve"> is used</w:t>
      </w:r>
      <w:r w:rsidRPr="0018239C">
        <w:t xml:space="preserve"> to </w:t>
      </w:r>
      <w:r w:rsidR="00226321">
        <w:t>facilitate</w:t>
      </w:r>
      <w:r w:rsidR="00EE473D">
        <w:t xml:space="preserve"> the</w:t>
      </w:r>
      <w:r w:rsidRPr="0018239C">
        <w:t xml:space="preserve"> time-o</w:t>
      </w:r>
      <w:r w:rsidR="00EE473D">
        <w:t xml:space="preserve">f-arrival estimation </w:t>
      </w:r>
      <w:r>
        <w:t>at the BS</w:t>
      </w:r>
      <w:r w:rsidRPr="0018239C">
        <w:t>.</w:t>
      </w:r>
      <w:r w:rsidR="006537C9">
        <w:t xml:space="preserve"> </w:t>
      </w:r>
    </w:p>
    <w:p w14:paraId="21B77749" w14:textId="044A6546" w:rsidR="00D12234" w:rsidRDefault="008741BC" w:rsidP="008741BC">
      <w:pPr>
        <w:pStyle w:val="BodyText"/>
        <w:jc w:val="center"/>
      </w:pPr>
      <w:r>
        <w:rPr>
          <w:noProof/>
          <w:lang w:val="en-US"/>
        </w:rPr>
        <w:drawing>
          <wp:inline distT="0" distB="0" distL="0" distR="0" wp14:anchorId="351BE7FA" wp14:editId="0A9F287B">
            <wp:extent cx="5943600" cy="21316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2131695"/>
                    </a:xfrm>
                    <a:prstGeom prst="rect">
                      <a:avLst/>
                    </a:prstGeom>
                  </pic:spPr>
                </pic:pic>
              </a:graphicData>
            </a:graphic>
          </wp:inline>
        </w:drawing>
      </w:r>
    </w:p>
    <w:p w14:paraId="1667F088" w14:textId="2A54F970" w:rsidR="00D12234" w:rsidRDefault="00D12234" w:rsidP="00D12234">
      <w:pPr>
        <w:pStyle w:val="Caption"/>
      </w:pPr>
      <w:bookmarkStart w:id="2" w:name="_Ref436229777"/>
      <w:r>
        <w:t xml:space="preserve">Figure </w:t>
      </w:r>
      <w:r>
        <w:fldChar w:fldCharType="begin"/>
      </w:r>
      <w:r>
        <w:instrText xml:space="preserve"> SEQ Figure \* ARABIC </w:instrText>
      </w:r>
      <w:r>
        <w:fldChar w:fldCharType="separate"/>
      </w:r>
      <w:r w:rsidR="007D0DD5">
        <w:rPr>
          <w:noProof/>
        </w:rPr>
        <w:t>1</w:t>
      </w:r>
      <w:r>
        <w:fldChar w:fldCharType="end"/>
      </w:r>
      <w:bookmarkEnd w:id="2"/>
      <w:r>
        <w:t xml:space="preserve">: An illustration of the single tone frequency hopped </w:t>
      </w:r>
      <w:r w:rsidR="00642468">
        <w:t>NB-PRACH</w:t>
      </w:r>
    </w:p>
    <w:p w14:paraId="5F57723A" w14:textId="70698ACD" w:rsidR="005A4773" w:rsidRPr="00921AB6" w:rsidRDefault="00E36E51" w:rsidP="005A4773">
      <w:pPr>
        <w:pStyle w:val="BodyText"/>
      </w:pPr>
      <w:r>
        <w:t xml:space="preserve">As shown in </w:t>
      </w:r>
      <w:r>
        <w:fldChar w:fldCharType="begin"/>
      </w:r>
      <w:r>
        <w:instrText xml:space="preserve"> REF _Ref436223730 \r \h </w:instrText>
      </w:r>
      <w:r>
        <w:fldChar w:fldCharType="separate"/>
      </w:r>
      <w:r w:rsidR="007D0DD5">
        <w:t>[3]</w:t>
      </w:r>
      <w:r>
        <w:fldChar w:fldCharType="end"/>
      </w:r>
      <w:r>
        <w:t>, with an appropriate selection of the design parameters, the</w:t>
      </w:r>
      <w:r w:rsidR="000A105F">
        <w:t xml:space="preserve"> theoretical</w:t>
      </w:r>
      <w:r>
        <w:t xml:space="preserve"> PAPR of the</w:t>
      </w:r>
      <w:r w:rsidR="00FB39DC">
        <w:t xml:space="preserve"> preamble signal</w:t>
      </w:r>
      <w:r w:rsidR="000A105F">
        <w:t xml:space="preserve"> can be as low as</w:t>
      </w:r>
      <w:r w:rsidR="00024429">
        <w:t xml:space="preserve"> </w:t>
      </w:r>
      <w:r>
        <w:t>0 dB.</w:t>
      </w:r>
      <w:r w:rsidR="00024429">
        <w:t xml:space="preserve"> UEs in extreme coverage are power limited and their performance is sensitive to power amplifier efficiency. The 0 dB PAPR property of the single tone frequency hopped </w:t>
      </w:r>
      <w:r w:rsidR="00642468">
        <w:t>NB-PRACH</w:t>
      </w:r>
      <w:r w:rsidR="00024429">
        <w:t xml:space="preserve"> is very desirable for this type of UE</w:t>
      </w:r>
      <w:r w:rsidR="00AC70EA">
        <w:t>s</w:t>
      </w:r>
      <w:r w:rsidR="00024429">
        <w:t>.</w:t>
      </w:r>
    </w:p>
    <w:p w14:paraId="0F55494A" w14:textId="655C09B1" w:rsidR="005A4773" w:rsidRPr="005A4773" w:rsidRDefault="005A4773" w:rsidP="005A4773">
      <w:pPr>
        <w:pStyle w:val="Heading1"/>
      </w:pPr>
      <w:bookmarkStart w:id="3" w:name="_Ref436229951"/>
      <w:r>
        <w:t>Design Considerations</w:t>
      </w:r>
      <w:bookmarkEnd w:id="3"/>
    </w:p>
    <w:p w14:paraId="420AAD6A" w14:textId="2FF07AF4" w:rsidR="002860F4" w:rsidRDefault="002860F4" w:rsidP="002860F4">
      <w:r>
        <w:t>In this section, we discuss h</w:t>
      </w:r>
      <w:r w:rsidR="00573F6F">
        <w:t>ow different</w:t>
      </w:r>
      <w:r>
        <w:t xml:space="preserve"> </w:t>
      </w:r>
      <w:r w:rsidR="00642468">
        <w:t>NB-PRACH</w:t>
      </w:r>
      <w:r w:rsidR="001D0FC8">
        <w:t xml:space="preserve"> design parameter</w:t>
      </w:r>
      <w:r w:rsidR="00573F6F">
        <w:t>s affect</w:t>
      </w:r>
      <w:r w:rsidR="001D0FC8">
        <w:t xml:space="preserve"> the</w:t>
      </w:r>
      <w:r w:rsidR="00573F6F">
        <w:t xml:space="preserve"> performance including detection, false alarm, timing estimation, collision, and/or supported cell size</w:t>
      </w:r>
      <w:r w:rsidR="0054763B">
        <w:t>s</w:t>
      </w:r>
      <w:r w:rsidR="00573F6F">
        <w:t xml:space="preserve">. </w:t>
      </w:r>
    </w:p>
    <w:p w14:paraId="3988A1BD" w14:textId="01C5597F" w:rsidR="005A53DB" w:rsidRDefault="005A53DB" w:rsidP="005A53DB">
      <w:pPr>
        <w:pStyle w:val="Heading2"/>
      </w:pPr>
      <w:r>
        <w:t xml:space="preserve">Usage of Single Tone Frequency Hopped </w:t>
      </w:r>
      <w:r w:rsidR="00642468">
        <w:t>NB-PRACH</w:t>
      </w:r>
    </w:p>
    <w:p w14:paraId="70F384B4" w14:textId="00E23C89" w:rsidR="00AA5E49" w:rsidRDefault="00461015" w:rsidP="005A53DB">
      <w:r>
        <w:t xml:space="preserve">The main advantage of single tone frequency hopped </w:t>
      </w:r>
      <w:r w:rsidR="00642468">
        <w:t>NB-PRACH</w:t>
      </w:r>
      <w:r>
        <w:t xml:space="preserve"> preambles is that they </w:t>
      </w:r>
      <w:r>
        <w:rPr>
          <w:lang w:val="en-US" w:eastAsia="ko-KR"/>
        </w:rPr>
        <w:t xml:space="preserve">have very low PAPR, which minimizes the needs for PA backoff and thus maximizes the coverage. </w:t>
      </w:r>
      <w:r w:rsidR="003876CE">
        <w:rPr>
          <w:lang w:val="en-US" w:eastAsia="ko-KR"/>
        </w:rPr>
        <w:t xml:space="preserve">It however comes at the cost of worse timing estimation accuracy compared to the </w:t>
      </w:r>
      <w:r w:rsidR="003876CE">
        <w:t xml:space="preserve">Zadoff-Chu sequences based </w:t>
      </w:r>
      <w:r w:rsidR="00642468">
        <w:t>NB-PRACH</w:t>
      </w:r>
      <w:r w:rsidR="003876CE">
        <w:t xml:space="preserve"> </w:t>
      </w:r>
      <w:r w:rsidR="00DA5704">
        <w:t>design</w:t>
      </w:r>
      <w:r w:rsidR="003876CE">
        <w:t>.</w:t>
      </w:r>
      <w:r w:rsidR="00DA5704">
        <w:t xml:space="preserve"> This fact can be clearly seen from </w:t>
      </w:r>
      <w:r w:rsidR="00DA5704">
        <w:fldChar w:fldCharType="begin"/>
      </w:r>
      <w:r w:rsidR="00DA5704">
        <w:instrText xml:space="preserve"> REF _Ref436747500 \h </w:instrText>
      </w:r>
      <w:r w:rsidR="00DA5704">
        <w:fldChar w:fldCharType="separate"/>
      </w:r>
      <w:r w:rsidR="007D0DD5">
        <w:t xml:space="preserve">Figure </w:t>
      </w:r>
      <w:r w:rsidR="007D0DD5">
        <w:rPr>
          <w:noProof/>
        </w:rPr>
        <w:t>2</w:t>
      </w:r>
      <w:r w:rsidR="00DA5704">
        <w:fldChar w:fldCharType="end"/>
      </w:r>
      <w:r w:rsidR="00DA5704">
        <w:t>, which shows</w:t>
      </w:r>
      <w:r w:rsidR="00567A42">
        <w:t xml:space="preserve"> an example of</w:t>
      </w:r>
      <w:r w:rsidR="00DA5704">
        <w:t xml:space="preserve"> the achieved </w:t>
      </w:r>
      <w:r w:rsidR="00DA5704">
        <w:rPr>
          <w:lang w:val="en-US" w:eastAsia="ko-KR"/>
        </w:rPr>
        <w:t>timing estimation accuracy</w:t>
      </w:r>
      <w:r w:rsidR="00DA5704">
        <w:t xml:space="preserve"> under the two designs.</w:t>
      </w:r>
    </w:p>
    <w:p w14:paraId="4936F28A" w14:textId="6A1C8B89" w:rsidR="00AA5E49" w:rsidRDefault="00AA5E49" w:rsidP="005A53DB">
      <w:r>
        <w:rPr>
          <w:noProof/>
          <w:lang w:val="en-US"/>
        </w:rPr>
        <w:drawing>
          <wp:inline distT="0" distB="0" distL="0" distR="0" wp14:anchorId="09F07DE0" wp14:editId="7DFCC93A">
            <wp:extent cx="2773631" cy="1989735"/>
            <wp:effectExtent l="0" t="0" r="8255" b="0"/>
            <wp:docPr id="8" name="Picture 8" descr="C:\local_data\MassiveMTC\Matlab\NB_LTE_RACH\Results\NewPRACH\ToA_Standalone_Format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ocal_data\MassiveMTC\Matlab\NB_LTE_RACH\Results\NewPRACH\ToA_Standalone_Formats0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7142" cy="1992254"/>
                    </a:xfrm>
                    <a:prstGeom prst="rect">
                      <a:avLst/>
                    </a:prstGeom>
                    <a:noFill/>
                    <a:ln>
                      <a:noFill/>
                    </a:ln>
                  </pic:spPr>
                </pic:pic>
              </a:graphicData>
            </a:graphic>
          </wp:inline>
        </w:drawing>
      </w:r>
      <w:r>
        <w:rPr>
          <w:noProof/>
          <w:lang w:val="en-US"/>
        </w:rPr>
        <w:drawing>
          <wp:inline distT="0" distB="0" distL="0" distR="0" wp14:anchorId="6421FDFB" wp14:editId="58E75D26">
            <wp:extent cx="2770467" cy="1987466"/>
            <wp:effectExtent l="0" t="0" r="0" b="0"/>
            <wp:docPr id="9" name="Picture 9" descr="C:\local_data\MassiveMTC\Matlab\NB_LTE_RACH\Results\NewPRACH\ToA_Standalone_Forma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ocal_data\MassiveMTC\Matlab\NB_LTE_RACH\Results\NewPRACH\ToA_Standalone_Format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3884" cy="1989917"/>
                    </a:xfrm>
                    <a:prstGeom prst="rect">
                      <a:avLst/>
                    </a:prstGeom>
                    <a:noFill/>
                    <a:ln>
                      <a:noFill/>
                    </a:ln>
                  </pic:spPr>
                </pic:pic>
              </a:graphicData>
            </a:graphic>
          </wp:inline>
        </w:drawing>
      </w:r>
    </w:p>
    <w:p w14:paraId="09E46F54" w14:textId="6CCAC249" w:rsidR="0054190F" w:rsidRDefault="00AA5E49" w:rsidP="00B303D1">
      <w:pPr>
        <w:pStyle w:val="Caption"/>
      </w:pPr>
      <w:bookmarkStart w:id="4" w:name="_Ref436747500"/>
      <w:r>
        <w:lastRenderedPageBreak/>
        <w:t xml:space="preserve">Figure </w:t>
      </w:r>
      <w:r>
        <w:fldChar w:fldCharType="begin"/>
      </w:r>
      <w:r>
        <w:instrText xml:space="preserve"> SEQ Figure \* ARABIC </w:instrText>
      </w:r>
      <w:r>
        <w:fldChar w:fldCharType="separate"/>
      </w:r>
      <w:r w:rsidR="007D0DD5">
        <w:rPr>
          <w:noProof/>
        </w:rPr>
        <w:t>2</w:t>
      </w:r>
      <w:r>
        <w:fldChar w:fldCharType="end"/>
      </w:r>
      <w:bookmarkEnd w:id="4"/>
      <w:r>
        <w:t xml:space="preserve">: </w:t>
      </w:r>
      <w:r w:rsidRPr="00E330BC">
        <w:t>Distribution of time-of-arrival estimation err</w:t>
      </w:r>
      <w:r>
        <w:t xml:space="preserve">ors: Left subfigure: Zadoff-Chu sequences based </w:t>
      </w:r>
      <w:r w:rsidR="00642468">
        <w:t>NB-PRACH</w:t>
      </w:r>
      <w:r>
        <w:t xml:space="preserve"> with 80 kHz bandwidth; Right subfigure: 2.5 kHz single tone frequency hopped </w:t>
      </w:r>
      <w:r w:rsidR="00642468">
        <w:t>NB-PRACH</w:t>
      </w:r>
      <w:r w:rsidR="00D65E01">
        <w:t>.</w:t>
      </w:r>
      <w:r w:rsidR="00073A24">
        <w:t xml:space="preserve"> </w:t>
      </w:r>
      <w:r w:rsidR="00D65E01">
        <w:t>D</w:t>
      </w:r>
      <w:r w:rsidR="00073A24">
        <w:t xml:space="preserve">etailed design description can be found in </w:t>
      </w:r>
      <w:r w:rsidR="00073A24">
        <w:fldChar w:fldCharType="begin"/>
      </w:r>
      <w:r w:rsidR="00073A24">
        <w:instrText xml:space="preserve"> REF _Ref436223730 \r \h </w:instrText>
      </w:r>
      <w:r w:rsidR="00073A24">
        <w:fldChar w:fldCharType="separate"/>
      </w:r>
      <w:r w:rsidR="007D0DD5">
        <w:t>[3]</w:t>
      </w:r>
      <w:r w:rsidR="00073A24">
        <w:fldChar w:fldCharType="end"/>
      </w:r>
      <w:r w:rsidR="00073A24">
        <w:t xml:space="preserve">. Evaluation assumptions and more evaluation results can be found in </w:t>
      </w:r>
      <w:r w:rsidR="00073A24">
        <w:fldChar w:fldCharType="begin"/>
      </w:r>
      <w:r w:rsidR="00073A24">
        <w:instrText xml:space="preserve"> REF _Ref436224860 \r \h </w:instrText>
      </w:r>
      <w:r w:rsidR="00073A24">
        <w:fldChar w:fldCharType="separate"/>
      </w:r>
      <w:r w:rsidR="007D0DD5">
        <w:t>[4]</w:t>
      </w:r>
      <w:r w:rsidR="00073A24">
        <w:fldChar w:fldCharType="end"/>
      </w:r>
      <w:r w:rsidR="00073A24">
        <w:fldChar w:fldCharType="begin"/>
      </w:r>
      <w:r w:rsidR="00073A24">
        <w:instrText xml:space="preserve"> REF _Ref436224862 \r \h </w:instrText>
      </w:r>
      <w:r w:rsidR="00073A24">
        <w:fldChar w:fldCharType="separate"/>
      </w:r>
      <w:r w:rsidR="007D0DD5">
        <w:t>[5]</w:t>
      </w:r>
      <w:r w:rsidR="00073A24">
        <w:fldChar w:fldCharType="end"/>
      </w:r>
      <w:r w:rsidR="00073A24">
        <w:fldChar w:fldCharType="begin"/>
      </w:r>
      <w:r w:rsidR="00073A24">
        <w:instrText xml:space="preserve"> REF _Ref436224863 \r \h </w:instrText>
      </w:r>
      <w:r w:rsidR="00073A24">
        <w:fldChar w:fldCharType="separate"/>
      </w:r>
      <w:r w:rsidR="007D0DD5">
        <w:t>[6]</w:t>
      </w:r>
      <w:r w:rsidR="00073A24">
        <w:fldChar w:fldCharType="end"/>
      </w:r>
      <w:r w:rsidR="00073A24">
        <w:t>.</w:t>
      </w:r>
    </w:p>
    <w:p w14:paraId="1B8FA9BB" w14:textId="79301C98" w:rsidR="0054190F" w:rsidRDefault="00B303D1" w:rsidP="0054190F">
      <w:r w:rsidRPr="00B303D1">
        <w:t>Timing advance is important for SC-FDMA based NB-IoT design to help maintain uplink orthogonality. The timing advance command is based on the estimated timing from NB-PRACH preamble transmission in random access. The timing estimation accuracy should be within the NB-PUSCH cyclic prefix (CP) or at least with a sufficiently high confidence level (e.g., 99%).</w:t>
      </w:r>
    </w:p>
    <w:p w14:paraId="45C5D9CC" w14:textId="6B8BAA13" w:rsidR="00B303D1" w:rsidRDefault="00B303D1" w:rsidP="0054190F">
      <w:r w:rsidRPr="00B303D1">
        <w:t>Though the NB-PUSCH CP length for NB-IoT has not been agreed yet, it has been agreed that at least the 15 kHz subcarrier spacing will be used for both single-tone and multi-tone</w:t>
      </w:r>
      <w:r>
        <w:t xml:space="preserve"> transmissions in the uplink </w:t>
      </w:r>
      <w:r>
        <w:fldChar w:fldCharType="begin"/>
      </w:r>
      <w:r>
        <w:instrText xml:space="preserve"> REF _Ref436223503 \r \h </w:instrText>
      </w:r>
      <w:r>
        <w:fldChar w:fldCharType="separate"/>
      </w:r>
      <w:r w:rsidR="007D0DD5">
        <w:t>[2]</w:t>
      </w:r>
      <w:r>
        <w:fldChar w:fldCharType="end"/>
      </w:r>
      <w:r w:rsidRPr="00B303D1">
        <w:t>. To better support inband deployment with better co-exi</w:t>
      </w:r>
      <w:r>
        <w:t>stence with LTE using normal CP,</w:t>
      </w:r>
      <w:r w:rsidRPr="00B303D1">
        <w:t xml:space="preserve"> 4.7 us NB-PUSCH CP length is preferred. </w:t>
      </w:r>
      <w:r>
        <w:t xml:space="preserve">It is unlikely that such </w:t>
      </w:r>
      <w:r w:rsidR="00B338EC">
        <w:t>stringent</w:t>
      </w:r>
      <w:r>
        <w:t xml:space="preserve"> timing estimation accuracy can be achieved with</w:t>
      </w:r>
      <w:r w:rsidR="00EE732B">
        <w:t xml:space="preserve"> a reasonable</w:t>
      </w:r>
      <w:r>
        <w:t xml:space="preserve"> </w:t>
      </w:r>
      <w:r w:rsidR="00C139AF">
        <w:t>single tone frequency hopped NB-PRACH design.</w:t>
      </w:r>
      <w:r w:rsidR="006646E2">
        <w:t xml:space="preserve"> </w:t>
      </w:r>
      <w:r w:rsidR="005A532D">
        <w:t>From this perspective, the usage of the single tone frequency hopped NB-PRACH should be limited to a small set of UEs that are in extreme coverage.</w:t>
      </w:r>
    </w:p>
    <w:p w14:paraId="1060C5A9" w14:textId="77777777" w:rsidR="005A532D" w:rsidRDefault="005A532D" w:rsidP="0054190F"/>
    <w:p w14:paraId="477A4246" w14:textId="41C350B3" w:rsidR="00C139AF" w:rsidRDefault="005A532D" w:rsidP="0054190F">
      <w:pPr>
        <w:rPr>
          <w:i/>
        </w:rPr>
      </w:pPr>
      <w:r w:rsidRPr="005A532D">
        <w:rPr>
          <w:i/>
        </w:rPr>
        <w:t>Proposal 1: The usage of the single tone frequency hopped NB-PRACH should be limited to a small set of UEs that are in extreme coverage.</w:t>
      </w:r>
    </w:p>
    <w:p w14:paraId="7CFBA915" w14:textId="77777777" w:rsidR="005A532D" w:rsidRPr="005A532D" w:rsidRDefault="005A532D" w:rsidP="0054190F">
      <w:pPr>
        <w:rPr>
          <w:i/>
        </w:rPr>
      </w:pPr>
    </w:p>
    <w:p w14:paraId="267205FB" w14:textId="7534B5DD" w:rsidR="004F5E5F" w:rsidRDefault="00BF13D0" w:rsidP="006843DD">
      <w:pPr>
        <w:pStyle w:val="Heading2"/>
      </w:pPr>
      <w:r>
        <w:t>Subcarrier Spacing</w:t>
      </w:r>
      <w:r w:rsidR="00172587">
        <w:t xml:space="preserve"> and Hopping Distance</w:t>
      </w:r>
    </w:p>
    <w:p w14:paraId="37D51B97" w14:textId="6786AAB0" w:rsidR="00BF13D0" w:rsidRDefault="001C68B2" w:rsidP="00BF13D0">
      <w:r>
        <w:t>The choice of the subcarrier spacing</w:t>
      </w:r>
      <w:r w:rsidR="004731EA">
        <w:t xml:space="preserve"> has the following </w:t>
      </w:r>
      <w:r>
        <w:t>implications.</w:t>
      </w:r>
    </w:p>
    <w:p w14:paraId="15694DC4" w14:textId="64D2E150" w:rsidR="001C68B2" w:rsidRDefault="005E6B50" w:rsidP="001C68B2">
      <w:pPr>
        <w:pStyle w:val="ListParagraph"/>
        <w:numPr>
          <w:ilvl w:val="0"/>
          <w:numId w:val="15"/>
        </w:numPr>
      </w:pPr>
      <w:r>
        <w:t>For a</w:t>
      </w:r>
      <w:r w:rsidR="001C68B2">
        <w:t xml:space="preserve"> given</w:t>
      </w:r>
      <w:r>
        <w:t xml:space="preserve"> configured</w:t>
      </w:r>
      <w:r w:rsidR="001C68B2">
        <w:t xml:space="preserve"> </w:t>
      </w:r>
      <w:r w:rsidR="00642468">
        <w:t>NB-PRACH</w:t>
      </w:r>
      <w:r w:rsidR="001C68B2">
        <w:t xml:space="preserve"> bandwidth, the larger the subcarrier spacing, the smaller the number of subcarriers. Since different single tone frequency hopped </w:t>
      </w:r>
      <w:r w:rsidR="00642468">
        <w:t>NB-PRACH</w:t>
      </w:r>
      <w:r w:rsidR="001C68B2">
        <w:t xml:space="preserve"> preambles are effectively separated in</w:t>
      </w:r>
      <w:r>
        <w:t xml:space="preserve"> the</w:t>
      </w:r>
      <w:r w:rsidR="001C68B2">
        <w:t xml:space="preserve"> frequency domain, using </w:t>
      </w:r>
      <w:r>
        <w:t>larger</w:t>
      </w:r>
      <w:r w:rsidR="001C68B2">
        <w:t xml:space="preserve"> subcarrier spacing implies </w:t>
      </w:r>
      <w:r>
        <w:t>a smaller number of</w:t>
      </w:r>
      <w:r w:rsidR="004E72A1">
        <w:t xml:space="preserve"> available</w:t>
      </w:r>
      <w:r>
        <w:t xml:space="preserve"> preambles. </w:t>
      </w:r>
    </w:p>
    <w:p w14:paraId="344EFEA0" w14:textId="7B1144C7" w:rsidR="004731EA" w:rsidRDefault="004731EA" w:rsidP="001C68B2">
      <w:pPr>
        <w:pStyle w:val="ListParagraph"/>
        <w:numPr>
          <w:ilvl w:val="0"/>
          <w:numId w:val="15"/>
        </w:numPr>
      </w:pPr>
      <w:r>
        <w:t xml:space="preserve">Using larger subcarrier spacing implies shorter symbol duration, which in turn reduces the maximum round trip delay that can be handled by the single tone frequency hopped </w:t>
      </w:r>
      <w:r w:rsidR="00642468">
        <w:t>NB-PRACH</w:t>
      </w:r>
      <w:r>
        <w:t>. This translates into a smaller cell size that can be supported.</w:t>
      </w:r>
    </w:p>
    <w:p w14:paraId="7D0A6B88" w14:textId="1DFCFF33" w:rsidR="005E6B50" w:rsidRDefault="004731EA" w:rsidP="005E6B50">
      <w:pPr>
        <w:pStyle w:val="ListParagraph"/>
        <w:numPr>
          <w:ilvl w:val="0"/>
          <w:numId w:val="15"/>
        </w:numPr>
      </w:pPr>
      <w:r>
        <w:t>Using larger subcarrier spacing may help improve the time-of-arrival estimation performance at the BS and is less sensitive to carrier frequency offset in the uplink.</w:t>
      </w:r>
    </w:p>
    <w:p w14:paraId="54338098" w14:textId="38F89460" w:rsidR="00657589" w:rsidRDefault="00657589" w:rsidP="00657589">
      <w:pPr>
        <w:pStyle w:val="ListParagraph"/>
        <w:numPr>
          <w:ilvl w:val="0"/>
          <w:numId w:val="15"/>
        </w:numPr>
      </w:pPr>
      <w:r>
        <w:t xml:space="preserve">Using larger subcarrier spacing implies shorter symbol duration, making it easier to pack more symbols into 1 ms subframe and thus possibly enabling better support of TDD deployment. </w:t>
      </w:r>
    </w:p>
    <w:p w14:paraId="3B16C09E" w14:textId="352776F5" w:rsidR="004731EA" w:rsidRDefault="008D6151" w:rsidP="004731EA">
      <w:r>
        <w:t>The choice of hopping distance has the following implications.</w:t>
      </w:r>
    </w:p>
    <w:p w14:paraId="23CEE232" w14:textId="7FE1CD99" w:rsidR="003241CB" w:rsidRDefault="003241CB" w:rsidP="003241CB">
      <w:pPr>
        <w:pStyle w:val="ListParagraph"/>
        <w:numPr>
          <w:ilvl w:val="0"/>
          <w:numId w:val="16"/>
        </w:numPr>
      </w:pPr>
      <w:r w:rsidRPr="003241CB">
        <w:t>Since the phase difference of two</w:t>
      </w:r>
      <w:r w:rsidR="008814B9">
        <w:t xml:space="preserve"> adjacent</w:t>
      </w:r>
      <w:r w:rsidRPr="003241CB">
        <w:t xml:space="preserve"> </w:t>
      </w:r>
      <w:r w:rsidR="008814B9">
        <w:t xml:space="preserve">received </w:t>
      </w:r>
      <w:r>
        <w:t>symbols</w:t>
      </w:r>
      <w:r w:rsidRPr="003241CB">
        <w:t xml:space="preserve"> due to hopping is pro</w:t>
      </w:r>
      <w:r>
        <w:t>portional to the hopping distance D</w:t>
      </w:r>
      <w:r w:rsidRPr="003241CB">
        <w:t>, c</w:t>
      </w:r>
      <w:r>
        <w:t>hoosing a large hopping distance D</w:t>
      </w:r>
      <w:r w:rsidRPr="003241CB">
        <w:t xml:space="preserve"> makes the observed phase difference at the</w:t>
      </w:r>
      <w:r>
        <w:t xml:space="preserve"> BS more robust to noise. This may help </w:t>
      </w:r>
      <w:r w:rsidR="00DB301B">
        <w:t>improve the time-of-arrival estimation performance at the BS.</w:t>
      </w:r>
    </w:p>
    <w:p w14:paraId="3182DC7E" w14:textId="7B2EA38B" w:rsidR="008D3E27" w:rsidRDefault="00DB301B" w:rsidP="008D3E27">
      <w:pPr>
        <w:pStyle w:val="ListParagraph"/>
        <w:numPr>
          <w:ilvl w:val="0"/>
          <w:numId w:val="15"/>
        </w:numPr>
      </w:pPr>
      <w:r>
        <w:t>T</w:t>
      </w:r>
      <w:r w:rsidR="003241CB" w:rsidRPr="003241CB">
        <w:t>he phase difference of two adjacent</w:t>
      </w:r>
      <w:r w:rsidR="0061342F">
        <w:t xml:space="preserve"> received</w:t>
      </w:r>
      <w:r w:rsidR="003241CB" w:rsidRPr="003241CB">
        <w:t xml:space="preserve"> </w:t>
      </w:r>
      <w:r>
        <w:t>symbol</w:t>
      </w:r>
      <w:r w:rsidR="003241CB" w:rsidRPr="003241CB">
        <w:t>s caused by hopping is</w:t>
      </w:r>
      <w:r w:rsidR="0061342F">
        <w:t xml:space="preserve"> prone to a 2*Pi phase ambiguity</w:t>
      </w:r>
      <w:r w:rsidR="00D7527C">
        <w:t>, which may cause confusion in the time-of-arrival estimation</w:t>
      </w:r>
      <w:r>
        <w:t xml:space="preserve">. </w:t>
      </w:r>
      <w:r w:rsidR="00D7527C">
        <w:t>T</w:t>
      </w:r>
      <w:r>
        <w:t>o avoid the 2*Pi phase ambiguity</w:t>
      </w:r>
      <w:r w:rsidR="003241CB" w:rsidRPr="003241CB">
        <w:t>,</w:t>
      </w:r>
      <w:r>
        <w:t xml:space="preserve"> </w:t>
      </w:r>
      <w:r w:rsidRPr="003241CB">
        <w:t>c</w:t>
      </w:r>
      <w:r>
        <w:t>hoosing a large hopping distance D reduces the time-of-arrival estimation range.</w:t>
      </w:r>
      <w:r w:rsidRPr="00DB301B">
        <w:t xml:space="preserve"> </w:t>
      </w:r>
      <w:r>
        <w:t>This translates into a smaller cell size that can be supported.</w:t>
      </w:r>
    </w:p>
    <w:p w14:paraId="58A28645" w14:textId="77777777" w:rsidR="00126EAB" w:rsidRDefault="00126EAB" w:rsidP="00126EAB">
      <w:pPr>
        <w:pStyle w:val="ListParagraph"/>
      </w:pPr>
    </w:p>
    <w:p w14:paraId="1359160C" w14:textId="02A2DE6A" w:rsidR="008D3E27" w:rsidRDefault="008D3E27" w:rsidP="008D3E27">
      <w:r>
        <w:t xml:space="preserve">From the above discussions, it is clear that there exist various design tradeoffs in choosing the subcarrier spacing and hopping distance for the single tone frequency hopped </w:t>
      </w:r>
      <w:r w:rsidR="00642468">
        <w:t>NB-PRACH</w:t>
      </w:r>
      <w:r>
        <w:t xml:space="preserve">. </w:t>
      </w:r>
      <w:r>
        <w:fldChar w:fldCharType="begin"/>
      </w:r>
      <w:r>
        <w:instrText xml:space="preserve"> REF _Ref436730133 \h </w:instrText>
      </w:r>
      <w:r>
        <w:fldChar w:fldCharType="separate"/>
      </w:r>
      <w:r w:rsidR="007D0DD5">
        <w:t xml:space="preserve">Table </w:t>
      </w:r>
      <w:r w:rsidR="007D0DD5">
        <w:rPr>
          <w:noProof/>
        </w:rPr>
        <w:t>1</w:t>
      </w:r>
      <w:r>
        <w:fldChar w:fldCharType="end"/>
      </w:r>
      <w:r>
        <w:t xml:space="preserve"> provides some concrete examples on how the choices affect the system performance.</w:t>
      </w:r>
    </w:p>
    <w:p w14:paraId="13CC4E79" w14:textId="3600DF50" w:rsidR="005E6B50" w:rsidRDefault="005E6B50" w:rsidP="005E6B50">
      <w:pPr>
        <w:pStyle w:val="Caption"/>
      </w:pPr>
      <w:bookmarkStart w:id="5" w:name="_Ref436730133"/>
      <w:r>
        <w:t xml:space="preserve">Table </w:t>
      </w:r>
      <w:r>
        <w:fldChar w:fldCharType="begin"/>
      </w:r>
      <w:r>
        <w:instrText xml:space="preserve"> SEQ Table \* ARABIC </w:instrText>
      </w:r>
      <w:r>
        <w:fldChar w:fldCharType="separate"/>
      </w:r>
      <w:r w:rsidR="007D0DD5">
        <w:rPr>
          <w:noProof/>
        </w:rPr>
        <w:t>1</w:t>
      </w:r>
      <w:r>
        <w:fldChar w:fldCharType="end"/>
      </w:r>
      <w:bookmarkEnd w:id="5"/>
      <w:r w:rsidR="004731EA">
        <w:t xml:space="preserve">: </w:t>
      </w:r>
      <w:r w:rsidR="00505420">
        <w:t>Impact</w:t>
      </w:r>
      <w:r w:rsidR="00EA627D">
        <w:t xml:space="preserve"> of </w:t>
      </w:r>
      <w:r w:rsidR="006D70FF">
        <w:t>S</w:t>
      </w:r>
      <w:r w:rsidR="00EA627D">
        <w:t xml:space="preserve">ubcarrier </w:t>
      </w:r>
      <w:r w:rsidR="006D70FF">
        <w:t>S</w:t>
      </w:r>
      <w:r w:rsidR="00EA627D">
        <w:t>pacing</w:t>
      </w:r>
      <w:r w:rsidR="006D70FF">
        <w:t xml:space="preserve"> and Hopping Distance </w:t>
      </w:r>
      <w:r w:rsidR="00505420">
        <w:t>on Random Access Preamble Capacity and</w:t>
      </w:r>
      <w:r w:rsidR="00581643">
        <w:t xml:space="preserve"> Supported</w:t>
      </w:r>
      <w:r w:rsidR="00505420">
        <w:t xml:space="preserve"> Cell Size</w:t>
      </w:r>
      <w:r w:rsidR="00581643">
        <w:t>s</w:t>
      </w:r>
      <w:r w:rsidR="00505420">
        <w:t xml:space="preserve">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2160"/>
        <w:gridCol w:w="1620"/>
        <w:gridCol w:w="1800"/>
        <w:gridCol w:w="1596"/>
      </w:tblGrid>
      <w:tr w:rsidR="00522479" w:rsidRPr="004B7027" w14:paraId="2D611722" w14:textId="77777777" w:rsidTr="002639D7">
        <w:trPr>
          <w:jc w:val="center"/>
        </w:trPr>
        <w:tc>
          <w:tcPr>
            <w:tcW w:w="1398" w:type="dxa"/>
            <w:shd w:val="clear" w:color="auto" w:fill="DBE5F1"/>
          </w:tcPr>
          <w:p w14:paraId="1E2CF922" w14:textId="6846F127" w:rsidR="00522479" w:rsidRPr="00E330BC" w:rsidRDefault="00522479" w:rsidP="00540939">
            <w:pPr>
              <w:jc w:val="center"/>
            </w:pPr>
            <w:r>
              <w:t>Subcarrier spacing</w:t>
            </w:r>
          </w:p>
        </w:tc>
        <w:tc>
          <w:tcPr>
            <w:tcW w:w="2160" w:type="dxa"/>
            <w:shd w:val="clear" w:color="auto" w:fill="DBE5F1"/>
          </w:tcPr>
          <w:p w14:paraId="0C717BDB" w14:textId="77777777" w:rsidR="00522479" w:rsidRDefault="00522479" w:rsidP="00540939">
            <w:pPr>
              <w:jc w:val="center"/>
            </w:pPr>
            <w:r w:rsidRPr="00E330BC">
              <w:t>No. of preambles</w:t>
            </w:r>
          </w:p>
          <w:p w14:paraId="3E5E5429" w14:textId="24F79587" w:rsidR="00522479" w:rsidRPr="00E330BC" w:rsidRDefault="00522479" w:rsidP="00540939">
            <w:pPr>
              <w:jc w:val="center"/>
            </w:pPr>
            <w:r>
              <w:t xml:space="preserve">(80 kHz </w:t>
            </w:r>
            <w:r w:rsidR="00642468">
              <w:t>NB-PRACH</w:t>
            </w:r>
            <w:r>
              <w:t>)</w:t>
            </w:r>
          </w:p>
        </w:tc>
        <w:tc>
          <w:tcPr>
            <w:tcW w:w="1620" w:type="dxa"/>
            <w:shd w:val="clear" w:color="auto" w:fill="DBE5F1"/>
          </w:tcPr>
          <w:p w14:paraId="08D4AF1F" w14:textId="09E6F305" w:rsidR="00522479" w:rsidRPr="00E330BC" w:rsidRDefault="00522479" w:rsidP="00224545">
            <w:pPr>
              <w:jc w:val="center"/>
            </w:pPr>
            <w:r>
              <w:t>Single symbol duration</w:t>
            </w:r>
          </w:p>
        </w:tc>
        <w:tc>
          <w:tcPr>
            <w:tcW w:w="1800" w:type="dxa"/>
            <w:shd w:val="clear" w:color="auto" w:fill="DBE5F1"/>
          </w:tcPr>
          <w:p w14:paraId="5130E20B" w14:textId="77777777" w:rsidR="00522479" w:rsidRDefault="00522479" w:rsidP="00540939">
            <w:pPr>
              <w:jc w:val="center"/>
            </w:pPr>
            <w:r>
              <w:t xml:space="preserve">Max cell size </w:t>
            </w:r>
          </w:p>
          <w:p w14:paraId="624EF40D" w14:textId="691DA8C4" w:rsidR="00522479" w:rsidRPr="00E330BC" w:rsidRDefault="00522479" w:rsidP="00540939">
            <w:pPr>
              <w:jc w:val="center"/>
            </w:pPr>
            <w:r>
              <w:t>(D=1)</w:t>
            </w:r>
          </w:p>
        </w:tc>
        <w:tc>
          <w:tcPr>
            <w:tcW w:w="1596" w:type="dxa"/>
            <w:shd w:val="clear" w:color="auto" w:fill="DBE5F1"/>
          </w:tcPr>
          <w:p w14:paraId="505F265B" w14:textId="77777777" w:rsidR="00522479" w:rsidRDefault="00522479" w:rsidP="00540939">
            <w:pPr>
              <w:jc w:val="center"/>
            </w:pPr>
            <w:r>
              <w:t xml:space="preserve">Max cell size </w:t>
            </w:r>
          </w:p>
          <w:p w14:paraId="09F594FB" w14:textId="1A97B9B8" w:rsidR="00522479" w:rsidRPr="00E330BC" w:rsidRDefault="00522479" w:rsidP="00522479">
            <w:pPr>
              <w:jc w:val="center"/>
            </w:pPr>
            <w:r>
              <w:t>(D=2)</w:t>
            </w:r>
          </w:p>
        </w:tc>
      </w:tr>
      <w:tr w:rsidR="00522479" w:rsidRPr="004B7027" w14:paraId="0C319CCE" w14:textId="77777777" w:rsidTr="002639D7">
        <w:trPr>
          <w:jc w:val="center"/>
        </w:trPr>
        <w:tc>
          <w:tcPr>
            <w:tcW w:w="1398" w:type="dxa"/>
            <w:shd w:val="clear" w:color="auto" w:fill="auto"/>
          </w:tcPr>
          <w:p w14:paraId="00C144CE" w14:textId="0E92C527" w:rsidR="00522479" w:rsidRPr="00E330BC" w:rsidRDefault="00522479" w:rsidP="00540939">
            <w:pPr>
              <w:jc w:val="center"/>
            </w:pPr>
            <w:r>
              <w:t>2.5 kHz</w:t>
            </w:r>
          </w:p>
        </w:tc>
        <w:tc>
          <w:tcPr>
            <w:tcW w:w="2160" w:type="dxa"/>
          </w:tcPr>
          <w:p w14:paraId="117930F6" w14:textId="3E33524D" w:rsidR="00522479" w:rsidRPr="00E330BC" w:rsidRDefault="00522479" w:rsidP="00540939">
            <w:pPr>
              <w:jc w:val="center"/>
            </w:pPr>
            <w:r>
              <w:t>32</w:t>
            </w:r>
          </w:p>
        </w:tc>
        <w:tc>
          <w:tcPr>
            <w:tcW w:w="1620" w:type="dxa"/>
          </w:tcPr>
          <w:p w14:paraId="5841FA59" w14:textId="779DCCB0" w:rsidR="00522479" w:rsidRPr="00E330BC" w:rsidRDefault="00522479" w:rsidP="00540939">
            <w:pPr>
              <w:jc w:val="center"/>
            </w:pPr>
            <w:r>
              <w:t>400 us</w:t>
            </w:r>
          </w:p>
        </w:tc>
        <w:tc>
          <w:tcPr>
            <w:tcW w:w="1800" w:type="dxa"/>
          </w:tcPr>
          <w:p w14:paraId="762E0D8F" w14:textId="6C2244E6" w:rsidR="00522479" w:rsidRPr="00E330BC" w:rsidRDefault="00522479" w:rsidP="00540939">
            <w:pPr>
              <w:jc w:val="center"/>
            </w:pPr>
            <w:r>
              <w:t>60 km</w:t>
            </w:r>
          </w:p>
        </w:tc>
        <w:tc>
          <w:tcPr>
            <w:tcW w:w="1596" w:type="dxa"/>
          </w:tcPr>
          <w:p w14:paraId="5FCB0FFF" w14:textId="635F6D3A" w:rsidR="00522479" w:rsidRPr="00E330BC" w:rsidRDefault="00EE2F5B" w:rsidP="00540939">
            <w:pPr>
              <w:jc w:val="center"/>
            </w:pPr>
            <w:r>
              <w:t>30 km</w:t>
            </w:r>
          </w:p>
        </w:tc>
      </w:tr>
      <w:tr w:rsidR="00522479" w:rsidRPr="004B7027" w14:paraId="0344EC80" w14:textId="77777777" w:rsidTr="002639D7">
        <w:trPr>
          <w:jc w:val="center"/>
        </w:trPr>
        <w:tc>
          <w:tcPr>
            <w:tcW w:w="1398" w:type="dxa"/>
            <w:shd w:val="clear" w:color="auto" w:fill="auto"/>
            <w:vAlign w:val="center"/>
          </w:tcPr>
          <w:p w14:paraId="66594547" w14:textId="4DD9408A" w:rsidR="00522479" w:rsidRDefault="00522479" w:rsidP="00540939">
            <w:pPr>
              <w:jc w:val="center"/>
            </w:pPr>
            <w:r>
              <w:t>7.5 kHz</w:t>
            </w:r>
          </w:p>
        </w:tc>
        <w:tc>
          <w:tcPr>
            <w:tcW w:w="2160" w:type="dxa"/>
            <w:vAlign w:val="center"/>
          </w:tcPr>
          <w:p w14:paraId="09C3A8B6" w14:textId="6940AFEC" w:rsidR="00522479" w:rsidRDefault="00522479" w:rsidP="00540939">
            <w:pPr>
              <w:jc w:val="center"/>
            </w:pPr>
            <w:r>
              <w:t>10</w:t>
            </w:r>
          </w:p>
        </w:tc>
        <w:tc>
          <w:tcPr>
            <w:tcW w:w="1620" w:type="dxa"/>
            <w:vAlign w:val="center"/>
          </w:tcPr>
          <w:p w14:paraId="5D431605" w14:textId="5A202C93" w:rsidR="00522479" w:rsidRPr="00E330BC" w:rsidRDefault="00522479" w:rsidP="00540939">
            <w:pPr>
              <w:jc w:val="center"/>
            </w:pPr>
            <w:r>
              <w:t>133.3 us</w:t>
            </w:r>
          </w:p>
        </w:tc>
        <w:tc>
          <w:tcPr>
            <w:tcW w:w="1800" w:type="dxa"/>
            <w:vAlign w:val="center"/>
          </w:tcPr>
          <w:p w14:paraId="71B09B53" w14:textId="63748D35" w:rsidR="00522479" w:rsidRDefault="00522479" w:rsidP="00540939">
            <w:pPr>
              <w:jc w:val="center"/>
            </w:pPr>
            <w:r>
              <w:t>20 km</w:t>
            </w:r>
          </w:p>
        </w:tc>
        <w:tc>
          <w:tcPr>
            <w:tcW w:w="1596" w:type="dxa"/>
            <w:vAlign w:val="center"/>
          </w:tcPr>
          <w:p w14:paraId="1F43B35E" w14:textId="4155BC6B" w:rsidR="00522479" w:rsidRDefault="00EE2F5B" w:rsidP="00540939">
            <w:pPr>
              <w:jc w:val="center"/>
            </w:pPr>
            <w:r>
              <w:t>10 km</w:t>
            </w:r>
          </w:p>
        </w:tc>
      </w:tr>
      <w:tr w:rsidR="00522479" w:rsidRPr="004B7027" w14:paraId="53D114ED" w14:textId="77777777" w:rsidTr="002639D7">
        <w:trPr>
          <w:jc w:val="center"/>
        </w:trPr>
        <w:tc>
          <w:tcPr>
            <w:tcW w:w="1398" w:type="dxa"/>
            <w:shd w:val="clear" w:color="auto" w:fill="auto"/>
            <w:vAlign w:val="center"/>
          </w:tcPr>
          <w:p w14:paraId="3031025F" w14:textId="171CB259" w:rsidR="00522479" w:rsidRDefault="00522479" w:rsidP="00540939">
            <w:pPr>
              <w:jc w:val="center"/>
            </w:pPr>
            <w:r>
              <w:lastRenderedPageBreak/>
              <w:t>15 kHz</w:t>
            </w:r>
          </w:p>
        </w:tc>
        <w:tc>
          <w:tcPr>
            <w:tcW w:w="2160" w:type="dxa"/>
            <w:vAlign w:val="center"/>
          </w:tcPr>
          <w:p w14:paraId="6334C15D" w14:textId="67820916" w:rsidR="00522479" w:rsidRDefault="00522479" w:rsidP="00540939">
            <w:pPr>
              <w:jc w:val="center"/>
            </w:pPr>
            <w:r>
              <w:t>5</w:t>
            </w:r>
          </w:p>
        </w:tc>
        <w:tc>
          <w:tcPr>
            <w:tcW w:w="1620" w:type="dxa"/>
            <w:vAlign w:val="center"/>
          </w:tcPr>
          <w:p w14:paraId="4641DB68" w14:textId="36E06BF6" w:rsidR="00522479" w:rsidRPr="00DF438D" w:rsidRDefault="00522479" w:rsidP="00540939">
            <w:pPr>
              <w:jc w:val="center"/>
            </w:pPr>
            <w:r>
              <w:t>66.7 us</w:t>
            </w:r>
          </w:p>
        </w:tc>
        <w:tc>
          <w:tcPr>
            <w:tcW w:w="1800" w:type="dxa"/>
            <w:vAlign w:val="center"/>
          </w:tcPr>
          <w:p w14:paraId="678AF4E1" w14:textId="618EB5A2" w:rsidR="00522479" w:rsidRDefault="00522479" w:rsidP="00540939">
            <w:pPr>
              <w:jc w:val="center"/>
            </w:pPr>
            <w:r>
              <w:t>10 km</w:t>
            </w:r>
          </w:p>
        </w:tc>
        <w:tc>
          <w:tcPr>
            <w:tcW w:w="1596" w:type="dxa"/>
            <w:vAlign w:val="center"/>
          </w:tcPr>
          <w:p w14:paraId="58E13C3F" w14:textId="112A34B5" w:rsidR="00522479" w:rsidRPr="00DF438D" w:rsidRDefault="00EE2F5B" w:rsidP="00540939">
            <w:pPr>
              <w:jc w:val="center"/>
            </w:pPr>
            <w:r>
              <w:t>5 km</w:t>
            </w:r>
          </w:p>
        </w:tc>
      </w:tr>
      <w:tr w:rsidR="00CE1EB6" w:rsidRPr="004B7027" w14:paraId="3CE27822" w14:textId="77777777" w:rsidTr="001F44BE">
        <w:trPr>
          <w:jc w:val="center"/>
        </w:trPr>
        <w:tc>
          <w:tcPr>
            <w:tcW w:w="8574" w:type="dxa"/>
            <w:gridSpan w:val="5"/>
            <w:shd w:val="clear" w:color="auto" w:fill="auto"/>
            <w:vAlign w:val="center"/>
          </w:tcPr>
          <w:p w14:paraId="11E297B3" w14:textId="69DBE32C" w:rsidR="00CE1EB6" w:rsidRDefault="00CE1EB6" w:rsidP="00540939">
            <w:pPr>
              <w:jc w:val="center"/>
            </w:pPr>
            <w:r>
              <w:t>Note: the cell sizes here only account for round-trip delay. The actual supported cell sizes should be slightly smaller than the values in the table to make some margin for DL sync errors and channel delay spread.</w:t>
            </w:r>
          </w:p>
        </w:tc>
      </w:tr>
    </w:tbl>
    <w:p w14:paraId="1FEB3A6C" w14:textId="77777777" w:rsidR="005E6B50" w:rsidRDefault="005E6B50" w:rsidP="005E6B50"/>
    <w:p w14:paraId="3C9464FC" w14:textId="2DD273FF" w:rsidR="005E6B50" w:rsidRDefault="0080210E" w:rsidP="00407EEB">
      <w:pPr>
        <w:pStyle w:val="Heading2"/>
      </w:pPr>
      <w:r>
        <w:t>Cyclic Prefix Lengths</w:t>
      </w:r>
      <w:r w:rsidR="00806C04">
        <w:t xml:space="preserve"> and Overhead Reduction</w:t>
      </w:r>
    </w:p>
    <w:p w14:paraId="062BDA68" w14:textId="77777777" w:rsidR="00407EEB" w:rsidRDefault="00407EEB" w:rsidP="00407EEB">
      <w:pPr>
        <w:pStyle w:val="BodyText"/>
        <w:rPr>
          <w:lang w:eastAsia="ko-KR"/>
        </w:rPr>
      </w:pPr>
      <w:r>
        <w:rPr>
          <w:lang w:eastAsia="ko-KR"/>
        </w:rPr>
        <w:t xml:space="preserve">The choice of CP lengths is mainly determined by the supported cell sizes of NB-IoT. In particular, the CP length should be long enough to account for the uplink timing uncertainty after downlink synchronization. The largest timing uncertainty can be the sum of (1) maximum round-trip delay, (2) downlink synchronization errors, and (3) channel delay spread (which may also include the transmit/receiver filtering effects). </w:t>
      </w:r>
    </w:p>
    <w:p w14:paraId="5B666A9F" w14:textId="373BD3FE" w:rsidR="00407EEB" w:rsidRDefault="007433CD" w:rsidP="00407EEB">
      <w:pPr>
        <w:pStyle w:val="BodyText"/>
        <w:rPr>
          <w:lang w:eastAsia="ko-KR"/>
        </w:rPr>
      </w:pPr>
      <w:r>
        <w:rPr>
          <w:lang w:eastAsia="ko-KR"/>
        </w:rPr>
        <w:t xml:space="preserve">Furthermore, </w:t>
      </w:r>
      <w:r w:rsidR="004A608F">
        <w:rPr>
          <w:lang w:eastAsia="ko-KR"/>
        </w:rPr>
        <w:t>it is desirable to select the CP lengths</w:t>
      </w:r>
      <w:r w:rsidR="00C1178C">
        <w:rPr>
          <w:lang w:eastAsia="ko-KR"/>
        </w:rPr>
        <w:t xml:space="preserve"> in a way such</w:t>
      </w:r>
      <w:r w:rsidR="004A608F">
        <w:rPr>
          <w:lang w:eastAsia="ko-KR"/>
        </w:rPr>
        <w:t xml:space="preserve"> that the phase continuity can be guaranteed at the hopping boundaries</w:t>
      </w:r>
      <w:r w:rsidR="006B6916">
        <w:rPr>
          <w:lang w:eastAsia="ko-KR"/>
        </w:rPr>
        <w:t xml:space="preserve"> for the single tone frequency-hopped NB-PRACH design</w:t>
      </w:r>
      <w:r w:rsidR="004A608F">
        <w:rPr>
          <w:lang w:eastAsia="ko-KR"/>
        </w:rPr>
        <w:t>. This would help reduce PAPR (and yields 0 dB PAPR theoretically).</w:t>
      </w:r>
    </w:p>
    <w:p w14:paraId="0315415D" w14:textId="4BCDDEA2" w:rsidR="00407EEB" w:rsidRDefault="00407EEB" w:rsidP="00407EEB">
      <w:pPr>
        <w:pStyle w:val="BodyText"/>
        <w:rPr>
          <w:lang w:eastAsia="ko-KR"/>
        </w:rPr>
      </w:pPr>
      <w:r>
        <w:rPr>
          <w:lang w:eastAsia="ko-KR"/>
        </w:rPr>
        <w:t xml:space="preserve">For NB-IoT, the largest supported cell size required in the GERAN study item is 35 km </w:t>
      </w:r>
      <w:r>
        <w:rPr>
          <w:lang w:eastAsia="ko-KR"/>
        </w:rPr>
        <w:fldChar w:fldCharType="begin"/>
      </w:r>
      <w:r>
        <w:rPr>
          <w:lang w:eastAsia="ko-KR"/>
        </w:rPr>
        <w:instrText xml:space="preserve"> REF _Ref425165970 \r \h </w:instrText>
      </w:r>
      <w:r>
        <w:rPr>
          <w:lang w:eastAsia="ko-KR"/>
        </w:rPr>
      </w:r>
      <w:r>
        <w:rPr>
          <w:lang w:eastAsia="ko-KR"/>
        </w:rPr>
        <w:fldChar w:fldCharType="separate"/>
      </w:r>
      <w:r w:rsidR="007D0DD5">
        <w:rPr>
          <w:lang w:eastAsia="ko-KR"/>
        </w:rPr>
        <w:t>[7]</w:t>
      </w:r>
      <w:r>
        <w:rPr>
          <w:lang w:eastAsia="ko-KR"/>
        </w:rPr>
        <w:fldChar w:fldCharType="end"/>
      </w:r>
      <w:r>
        <w:rPr>
          <w:lang w:eastAsia="ko-KR"/>
        </w:rPr>
        <w:t xml:space="preserve">, leading to a maximum of 233.3 us round-trip delay. </w:t>
      </w:r>
      <w:r w:rsidR="005F5031">
        <w:rPr>
          <w:lang w:eastAsia="ko-KR"/>
        </w:rPr>
        <w:t>Considering the design tradeoffs discussed in the previous section</w:t>
      </w:r>
      <w:r w:rsidR="00272C9C">
        <w:rPr>
          <w:lang w:eastAsia="ko-KR"/>
        </w:rPr>
        <w:t xml:space="preserve"> and </w:t>
      </w:r>
      <w:r w:rsidR="005F5031">
        <w:rPr>
          <w:lang w:eastAsia="ko-KR"/>
        </w:rPr>
        <w:t xml:space="preserve">CP overhead, it is desirable to </w:t>
      </w:r>
      <w:r>
        <w:rPr>
          <w:lang w:eastAsia="ko-KR"/>
        </w:rPr>
        <w:t xml:space="preserve">introduce different CP lengths for </w:t>
      </w:r>
      <w:r w:rsidR="00642468">
        <w:rPr>
          <w:lang w:eastAsia="ko-KR"/>
        </w:rPr>
        <w:t>NB-PRACH</w:t>
      </w:r>
      <w:r>
        <w:rPr>
          <w:lang w:eastAsia="ko-KR"/>
        </w:rPr>
        <w:t xml:space="preserve">. Nevertheless, we should not introduce too many CP lengths for </w:t>
      </w:r>
      <w:r w:rsidR="00642468">
        <w:rPr>
          <w:lang w:eastAsia="ko-KR"/>
        </w:rPr>
        <w:t>NB-PRACH</w:t>
      </w:r>
      <w:r>
        <w:rPr>
          <w:lang w:eastAsia="ko-KR"/>
        </w:rPr>
        <w:t xml:space="preserve"> that may result in a high </w:t>
      </w:r>
      <w:r w:rsidR="00642468">
        <w:rPr>
          <w:lang w:eastAsia="ko-KR"/>
        </w:rPr>
        <w:t>NB-PRACH</w:t>
      </w:r>
      <w:r>
        <w:rPr>
          <w:lang w:eastAsia="ko-KR"/>
        </w:rPr>
        <w:t xml:space="preserve"> configuration signalling overhead. In our view, 2~4 choices should suffice. </w:t>
      </w:r>
      <w:r w:rsidR="005F5031">
        <w:rPr>
          <w:lang w:eastAsia="ko-KR"/>
        </w:rPr>
        <w:t>An example design choice of CP lengths is</w:t>
      </w:r>
      <w:r>
        <w:rPr>
          <w:lang w:eastAsia="ko-KR"/>
        </w:rPr>
        <w:t xml:space="preserve"> given in</w:t>
      </w:r>
      <w:r w:rsidR="00F13DFA">
        <w:rPr>
          <w:lang w:eastAsia="ko-KR"/>
        </w:rPr>
        <w:t xml:space="preserve"> </w:t>
      </w:r>
      <w:r w:rsidR="00F13DFA">
        <w:rPr>
          <w:lang w:eastAsia="ko-KR"/>
        </w:rPr>
        <w:fldChar w:fldCharType="begin"/>
      </w:r>
      <w:r w:rsidR="00F13DFA">
        <w:rPr>
          <w:lang w:eastAsia="ko-KR"/>
        </w:rPr>
        <w:instrText xml:space="preserve"> REF _Ref436731504 \h </w:instrText>
      </w:r>
      <w:r w:rsidR="00F13DFA">
        <w:rPr>
          <w:lang w:eastAsia="ko-KR"/>
        </w:rPr>
      </w:r>
      <w:r w:rsidR="00F13DFA">
        <w:rPr>
          <w:lang w:eastAsia="ko-KR"/>
        </w:rPr>
        <w:fldChar w:fldCharType="separate"/>
      </w:r>
      <w:r w:rsidR="007D0DD5">
        <w:t xml:space="preserve">Table </w:t>
      </w:r>
      <w:r w:rsidR="007D0DD5">
        <w:rPr>
          <w:noProof/>
        </w:rPr>
        <w:t>2</w:t>
      </w:r>
      <w:r w:rsidR="00F13DFA">
        <w:rPr>
          <w:lang w:eastAsia="ko-KR"/>
        </w:rPr>
        <w:fldChar w:fldCharType="end"/>
      </w:r>
      <w:r>
        <w:rPr>
          <w:lang w:eastAsia="ko-KR"/>
        </w:rPr>
        <w:t>.</w:t>
      </w:r>
      <w:r w:rsidR="00B20FC6">
        <w:rPr>
          <w:lang w:eastAsia="ko-KR"/>
        </w:rPr>
        <w:t xml:space="preserve"> </w:t>
      </w:r>
      <w:r w:rsidR="00B20FC6" w:rsidRPr="00B20FC6">
        <w:rPr>
          <w:u w:val="single"/>
          <w:lang w:eastAsia="ko-KR"/>
        </w:rPr>
        <w:t>(Note that the same set of CP lengths can also be used for Zadoff-Chu sequences based NB-PR</w:t>
      </w:r>
      <w:r w:rsidR="00FC5713">
        <w:rPr>
          <w:u w:val="single"/>
          <w:lang w:eastAsia="ko-KR"/>
        </w:rPr>
        <w:t>ACH design, as presented</w:t>
      </w:r>
      <w:r w:rsidR="00B20FC6" w:rsidRPr="00B20FC6">
        <w:rPr>
          <w:u w:val="single"/>
          <w:lang w:eastAsia="ko-KR"/>
        </w:rPr>
        <w:t xml:space="preserve"> in </w:t>
      </w:r>
      <w:r w:rsidR="00B20FC6" w:rsidRPr="00B20FC6">
        <w:rPr>
          <w:u w:val="single"/>
          <w:lang w:eastAsia="ko-KR"/>
        </w:rPr>
        <w:fldChar w:fldCharType="begin"/>
      </w:r>
      <w:r w:rsidR="00B20FC6" w:rsidRPr="00B20FC6">
        <w:rPr>
          <w:u w:val="single"/>
          <w:lang w:eastAsia="ko-KR"/>
        </w:rPr>
        <w:instrText xml:space="preserve"> REF _Ref436744393 \r \h </w:instrText>
      </w:r>
      <w:r w:rsidR="00B20FC6" w:rsidRPr="00B20FC6">
        <w:rPr>
          <w:u w:val="single"/>
          <w:lang w:eastAsia="ko-KR"/>
        </w:rPr>
      </w:r>
      <w:r w:rsidR="00B20FC6" w:rsidRPr="00B20FC6">
        <w:rPr>
          <w:u w:val="single"/>
          <w:lang w:eastAsia="ko-KR"/>
        </w:rPr>
        <w:fldChar w:fldCharType="separate"/>
      </w:r>
      <w:r w:rsidR="00B20FC6" w:rsidRPr="00B20FC6">
        <w:rPr>
          <w:u w:val="single"/>
          <w:lang w:eastAsia="ko-KR"/>
        </w:rPr>
        <w:t>[8]</w:t>
      </w:r>
      <w:r w:rsidR="00B20FC6" w:rsidRPr="00B20FC6">
        <w:rPr>
          <w:u w:val="single"/>
          <w:lang w:eastAsia="ko-KR"/>
        </w:rPr>
        <w:fldChar w:fldCharType="end"/>
      </w:r>
      <w:r w:rsidR="00B20FC6" w:rsidRPr="00B20FC6">
        <w:rPr>
          <w:u w:val="single"/>
          <w:lang w:eastAsia="ko-KR"/>
        </w:rPr>
        <w:t>.)</w:t>
      </w:r>
    </w:p>
    <w:p w14:paraId="15166052" w14:textId="65D079DF" w:rsidR="007E23D9" w:rsidRDefault="007E23D9" w:rsidP="00F06C51">
      <w:pPr>
        <w:pStyle w:val="BodyText"/>
      </w:pPr>
      <w:r>
        <w:t>For the 2.5 kHz subcarrier spacing</w:t>
      </w:r>
      <w:r w:rsidR="00F06C51">
        <w:t>, the duration of the data part of a normal OFDM symbol is 400 us. To support cell size up to 60 km, we need a CP of length 400 us to accommodate the maximum round-trip delay. A direct transmission would lead to a 50% CP overhead out of the total resource. To reduce the overhead, we</w:t>
      </w:r>
      <w:r>
        <w:t xml:space="preserve"> can</w:t>
      </w:r>
      <w:r w:rsidR="00F06C51">
        <w:t xml:space="preserve"> repeat each OFDM symbol </w:t>
      </w:r>
      <w:r>
        <w:t>multiple times.</w:t>
      </w:r>
      <w:r w:rsidR="00F06C51">
        <w:t xml:space="preserve"> </w:t>
      </w:r>
      <w:r>
        <w:t xml:space="preserve">The idea is illustrated </w:t>
      </w:r>
      <w:r w:rsidR="002B3AE8">
        <w:t xml:space="preserve">in </w:t>
      </w:r>
      <w:r w:rsidR="002B3AE8">
        <w:fldChar w:fldCharType="begin"/>
      </w:r>
      <w:r w:rsidR="002B3AE8">
        <w:instrText xml:space="preserve"> REF _Ref436733888 \h </w:instrText>
      </w:r>
      <w:r w:rsidR="002B3AE8">
        <w:fldChar w:fldCharType="separate"/>
      </w:r>
      <w:r w:rsidR="007D0DD5">
        <w:t xml:space="preserve">Figure </w:t>
      </w:r>
      <w:r w:rsidR="007D0DD5">
        <w:rPr>
          <w:noProof/>
        </w:rPr>
        <w:t>3</w:t>
      </w:r>
      <w:r w:rsidR="002B3AE8">
        <w:fldChar w:fldCharType="end"/>
      </w:r>
      <w:r>
        <w:t>.</w:t>
      </w:r>
      <w:r w:rsidR="00235B22">
        <w:t xml:space="preserve"> Note that similar idea can be used for other subcarrier spacing choices</w:t>
      </w:r>
      <w:r w:rsidR="00BB1568">
        <w:t xml:space="preserve"> for</w:t>
      </w:r>
      <w:r w:rsidR="00F2086F">
        <w:t xml:space="preserve"> CP overhead reduction</w:t>
      </w:r>
      <w:r w:rsidR="00235B22">
        <w:t>.</w:t>
      </w:r>
    </w:p>
    <w:p w14:paraId="6BB89462" w14:textId="2B2D18FC" w:rsidR="007E23D9" w:rsidRDefault="004E33AA" w:rsidP="004E33AA">
      <w:pPr>
        <w:pStyle w:val="BodyText"/>
        <w:jc w:val="center"/>
      </w:pPr>
      <w:r>
        <w:rPr>
          <w:noProof/>
          <w:lang w:val="en-US"/>
        </w:rPr>
        <w:drawing>
          <wp:inline distT="0" distB="0" distL="0" distR="0" wp14:anchorId="7C244892" wp14:editId="3F0F6751">
            <wp:extent cx="1969202" cy="2187245"/>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969055" cy="2187081"/>
                    </a:xfrm>
                    <a:prstGeom prst="rect">
                      <a:avLst/>
                    </a:prstGeom>
                  </pic:spPr>
                </pic:pic>
              </a:graphicData>
            </a:graphic>
          </wp:inline>
        </w:drawing>
      </w:r>
    </w:p>
    <w:p w14:paraId="5B8392E0" w14:textId="29500A38" w:rsidR="007E23D9" w:rsidRDefault="004E33AA" w:rsidP="00B42E13">
      <w:pPr>
        <w:pStyle w:val="Caption"/>
      </w:pPr>
      <w:bookmarkStart w:id="6" w:name="_Ref436733888"/>
      <w:r>
        <w:t xml:space="preserve">Figure </w:t>
      </w:r>
      <w:r>
        <w:fldChar w:fldCharType="begin"/>
      </w:r>
      <w:r>
        <w:instrText xml:space="preserve"> SEQ Figure \* ARABIC </w:instrText>
      </w:r>
      <w:r>
        <w:fldChar w:fldCharType="separate"/>
      </w:r>
      <w:r w:rsidR="007D0DD5">
        <w:rPr>
          <w:noProof/>
        </w:rPr>
        <w:t>3</w:t>
      </w:r>
      <w:r>
        <w:fldChar w:fldCharType="end"/>
      </w:r>
      <w:bookmarkEnd w:id="6"/>
      <w:r>
        <w:t>: Reducing CP Overhead by Repeating OFDM Symbol</w:t>
      </w:r>
      <w:r w:rsidR="0076599A">
        <w:t>s</w:t>
      </w:r>
      <w:r>
        <w:t xml:space="preserve"> </w:t>
      </w:r>
    </w:p>
    <w:p w14:paraId="6718E7B2" w14:textId="6EC546B4" w:rsidR="00F06C51" w:rsidRDefault="007E23D9" w:rsidP="00407EEB">
      <w:pPr>
        <w:pStyle w:val="BodyText"/>
      </w:pPr>
      <w:r>
        <w:t xml:space="preserve">The selection of the number of repetitions is a tradeoff between CP overhead reduction and robustness to Doppler spread and/or TDD support. </w:t>
      </w:r>
      <w:r w:rsidR="00A72D1F">
        <w:t xml:space="preserve">Some design examples are given in </w:t>
      </w:r>
      <w:r w:rsidR="00A72D1F">
        <w:fldChar w:fldCharType="begin"/>
      </w:r>
      <w:r w:rsidR="00A72D1F">
        <w:instrText xml:space="preserve"> REF _Ref436731504 \h </w:instrText>
      </w:r>
      <w:r w:rsidR="00A72D1F">
        <w:fldChar w:fldCharType="separate"/>
      </w:r>
      <w:r w:rsidR="007D0DD5">
        <w:t xml:space="preserve">Table </w:t>
      </w:r>
      <w:r w:rsidR="007D0DD5">
        <w:rPr>
          <w:noProof/>
        </w:rPr>
        <w:t>2</w:t>
      </w:r>
      <w:r w:rsidR="00A72D1F">
        <w:fldChar w:fldCharType="end"/>
      </w:r>
      <w:r w:rsidR="00A72D1F">
        <w:t>.</w:t>
      </w:r>
    </w:p>
    <w:p w14:paraId="617939F7" w14:textId="461238CA" w:rsidR="00407EEB" w:rsidRDefault="00407EEB" w:rsidP="00407EEB">
      <w:pPr>
        <w:pStyle w:val="Caption"/>
        <w:rPr>
          <w:lang w:eastAsia="ko-KR"/>
        </w:rPr>
      </w:pPr>
      <w:bookmarkStart w:id="7" w:name="_Ref436731504"/>
      <w:r>
        <w:t xml:space="preserve">Table </w:t>
      </w:r>
      <w:r>
        <w:fldChar w:fldCharType="begin"/>
      </w:r>
      <w:r>
        <w:instrText xml:space="preserve"> SEQ Table \* ARABIC </w:instrText>
      </w:r>
      <w:r>
        <w:fldChar w:fldCharType="separate"/>
      </w:r>
      <w:r w:rsidR="007D0DD5">
        <w:rPr>
          <w:noProof/>
        </w:rPr>
        <w:t>2</w:t>
      </w:r>
      <w:r>
        <w:fldChar w:fldCharType="end"/>
      </w:r>
      <w:bookmarkEnd w:id="7"/>
      <w:r>
        <w:t xml:space="preserve">: </w:t>
      </w:r>
      <w:r w:rsidR="00642468">
        <w:t>NB-PRACH</w:t>
      </w:r>
      <w:r>
        <w:t xml:space="preserve"> </w:t>
      </w:r>
      <w:r w:rsidR="006D70FF">
        <w:t>C</w:t>
      </w:r>
      <w:r>
        <w:t xml:space="preserve">yclic </w:t>
      </w:r>
      <w:r w:rsidR="006D70FF">
        <w:t>P</w:t>
      </w:r>
      <w:r>
        <w:t>refix</w:t>
      </w:r>
      <w:r w:rsidR="00D24299">
        <w:t xml:space="preserve"> </w:t>
      </w:r>
      <w:r w:rsidR="006D70FF">
        <w:t>L</w:t>
      </w:r>
      <w:r w:rsidR="00D24299">
        <w:t>engths</w:t>
      </w:r>
      <w:r w:rsidR="00F06C51">
        <w:t>,</w:t>
      </w:r>
      <w:r w:rsidR="00F13DFA">
        <w:t xml:space="preserve"> Hoping Distances</w:t>
      </w:r>
      <w:r w:rsidR="00F06C51">
        <w:t>, and # of Data Symbol Repetitions</w:t>
      </w:r>
      <w:r>
        <w:t xml:space="preserve"> </w:t>
      </w:r>
      <w:r w:rsidR="00D24299">
        <w:t xml:space="preserve">for 2.5 kHz </w:t>
      </w:r>
      <w:r w:rsidR="006D70FF">
        <w:t>S</w:t>
      </w:r>
      <w:r w:rsidR="00D24299">
        <w:t xml:space="preserve">ubcarrier </w:t>
      </w:r>
      <w:r w:rsidR="006D70FF">
        <w:t>S</w:t>
      </w:r>
      <w:r w:rsidR="00D24299">
        <w:t>pacing</w:t>
      </w:r>
    </w:p>
    <w:tbl>
      <w:tblPr>
        <w:tblW w:w="0" w:type="auto"/>
        <w:jc w:val="center"/>
        <w:tblInd w:w="-1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1314"/>
        <w:gridCol w:w="1260"/>
        <w:gridCol w:w="1260"/>
        <w:gridCol w:w="1440"/>
      </w:tblGrid>
      <w:tr w:rsidR="00407EEB" w:rsidRPr="004B7027" w14:paraId="4A340007" w14:textId="77777777" w:rsidTr="00885C46">
        <w:trPr>
          <w:jc w:val="center"/>
        </w:trPr>
        <w:tc>
          <w:tcPr>
            <w:tcW w:w="3622" w:type="dxa"/>
            <w:shd w:val="clear" w:color="auto" w:fill="DBE5F1"/>
          </w:tcPr>
          <w:p w14:paraId="02B1A6E2" w14:textId="77777777" w:rsidR="00407EEB" w:rsidRPr="00E330BC" w:rsidRDefault="00407EEB" w:rsidP="00540939">
            <w:pPr>
              <w:jc w:val="center"/>
            </w:pPr>
            <w:r>
              <w:t>Cell size (km)</w:t>
            </w:r>
          </w:p>
        </w:tc>
        <w:tc>
          <w:tcPr>
            <w:tcW w:w="1314" w:type="dxa"/>
            <w:shd w:val="clear" w:color="auto" w:fill="DBE5F1"/>
          </w:tcPr>
          <w:p w14:paraId="745BD0AA" w14:textId="77777777" w:rsidR="00407EEB" w:rsidRPr="00E330BC" w:rsidRDefault="00407EEB" w:rsidP="00540939">
            <w:pPr>
              <w:jc w:val="center"/>
            </w:pPr>
            <w:r>
              <w:t>7.5</w:t>
            </w:r>
          </w:p>
        </w:tc>
        <w:tc>
          <w:tcPr>
            <w:tcW w:w="1260" w:type="dxa"/>
            <w:shd w:val="clear" w:color="auto" w:fill="DBE5F1"/>
          </w:tcPr>
          <w:p w14:paraId="0160FC2E" w14:textId="77777777" w:rsidR="00407EEB" w:rsidRPr="00E330BC" w:rsidRDefault="00407EEB" w:rsidP="00540939">
            <w:pPr>
              <w:jc w:val="center"/>
            </w:pPr>
            <w:r>
              <w:t>15</w:t>
            </w:r>
          </w:p>
        </w:tc>
        <w:tc>
          <w:tcPr>
            <w:tcW w:w="1260" w:type="dxa"/>
            <w:shd w:val="clear" w:color="auto" w:fill="DBE5F1"/>
          </w:tcPr>
          <w:p w14:paraId="00B722D8" w14:textId="77777777" w:rsidR="00407EEB" w:rsidRPr="00E330BC" w:rsidRDefault="00407EEB" w:rsidP="00540939">
            <w:pPr>
              <w:jc w:val="center"/>
            </w:pPr>
            <w:r>
              <w:t>30</w:t>
            </w:r>
          </w:p>
        </w:tc>
        <w:tc>
          <w:tcPr>
            <w:tcW w:w="1440" w:type="dxa"/>
            <w:shd w:val="clear" w:color="auto" w:fill="DBE5F1"/>
          </w:tcPr>
          <w:p w14:paraId="0CC05971" w14:textId="77777777" w:rsidR="00407EEB" w:rsidRPr="00E330BC" w:rsidRDefault="00407EEB" w:rsidP="00540939">
            <w:pPr>
              <w:jc w:val="center"/>
            </w:pPr>
            <w:r>
              <w:t>60</w:t>
            </w:r>
          </w:p>
        </w:tc>
      </w:tr>
      <w:tr w:rsidR="00B5556A" w:rsidRPr="004B7027" w14:paraId="75EC528E" w14:textId="77777777" w:rsidTr="00885C46">
        <w:trPr>
          <w:jc w:val="center"/>
        </w:trPr>
        <w:tc>
          <w:tcPr>
            <w:tcW w:w="3622" w:type="dxa"/>
            <w:shd w:val="clear" w:color="auto" w:fill="auto"/>
          </w:tcPr>
          <w:p w14:paraId="5E9BF54A" w14:textId="0627F95E" w:rsidR="00B5556A" w:rsidRDefault="00B5556A" w:rsidP="00540939">
            <w:pPr>
              <w:jc w:val="center"/>
            </w:pPr>
            <w:r>
              <w:t>Hopping distance D</w:t>
            </w:r>
          </w:p>
        </w:tc>
        <w:tc>
          <w:tcPr>
            <w:tcW w:w="1314" w:type="dxa"/>
          </w:tcPr>
          <w:p w14:paraId="201DEF40" w14:textId="66ED2885" w:rsidR="00B5556A" w:rsidRDefault="00B5556A" w:rsidP="00540939">
            <w:pPr>
              <w:jc w:val="center"/>
            </w:pPr>
            <w:r>
              <w:t>8</w:t>
            </w:r>
          </w:p>
        </w:tc>
        <w:tc>
          <w:tcPr>
            <w:tcW w:w="1260" w:type="dxa"/>
          </w:tcPr>
          <w:p w14:paraId="37703C26" w14:textId="1F71AC56" w:rsidR="00B5556A" w:rsidRDefault="00B5556A" w:rsidP="00540939">
            <w:pPr>
              <w:jc w:val="center"/>
            </w:pPr>
            <w:r>
              <w:t>4</w:t>
            </w:r>
          </w:p>
        </w:tc>
        <w:tc>
          <w:tcPr>
            <w:tcW w:w="1260" w:type="dxa"/>
          </w:tcPr>
          <w:p w14:paraId="67C045BC" w14:textId="0A7AADFE" w:rsidR="00B5556A" w:rsidRDefault="00B5556A" w:rsidP="00540939">
            <w:pPr>
              <w:jc w:val="center"/>
            </w:pPr>
            <w:r>
              <w:t>2</w:t>
            </w:r>
          </w:p>
        </w:tc>
        <w:tc>
          <w:tcPr>
            <w:tcW w:w="1440" w:type="dxa"/>
          </w:tcPr>
          <w:p w14:paraId="56402585" w14:textId="46962E4A" w:rsidR="00B5556A" w:rsidRDefault="00B5556A" w:rsidP="00540939">
            <w:pPr>
              <w:jc w:val="center"/>
            </w:pPr>
            <w:r>
              <w:t>1</w:t>
            </w:r>
          </w:p>
        </w:tc>
      </w:tr>
      <w:tr w:rsidR="00407EEB" w:rsidRPr="004B7027" w14:paraId="58708720" w14:textId="77777777" w:rsidTr="00885C46">
        <w:trPr>
          <w:jc w:val="center"/>
        </w:trPr>
        <w:tc>
          <w:tcPr>
            <w:tcW w:w="3622" w:type="dxa"/>
            <w:shd w:val="clear" w:color="auto" w:fill="auto"/>
          </w:tcPr>
          <w:p w14:paraId="47F1F20B" w14:textId="1615493E" w:rsidR="00407EEB" w:rsidRPr="00E330BC" w:rsidRDefault="005865BB" w:rsidP="00540939">
            <w:pPr>
              <w:jc w:val="center"/>
            </w:pPr>
            <w:r>
              <w:t>CP length (us)</w:t>
            </w:r>
          </w:p>
        </w:tc>
        <w:tc>
          <w:tcPr>
            <w:tcW w:w="1314" w:type="dxa"/>
          </w:tcPr>
          <w:p w14:paraId="27DF6724" w14:textId="77777777" w:rsidR="00407EEB" w:rsidRPr="00E330BC" w:rsidRDefault="00407EEB" w:rsidP="00540939">
            <w:pPr>
              <w:jc w:val="center"/>
            </w:pPr>
            <w:r>
              <w:t>50</w:t>
            </w:r>
          </w:p>
        </w:tc>
        <w:tc>
          <w:tcPr>
            <w:tcW w:w="1260" w:type="dxa"/>
          </w:tcPr>
          <w:p w14:paraId="40848D12" w14:textId="77777777" w:rsidR="00407EEB" w:rsidRPr="00E330BC" w:rsidRDefault="00407EEB" w:rsidP="00540939">
            <w:pPr>
              <w:jc w:val="center"/>
            </w:pPr>
            <w:r>
              <w:t>100</w:t>
            </w:r>
          </w:p>
        </w:tc>
        <w:tc>
          <w:tcPr>
            <w:tcW w:w="1260" w:type="dxa"/>
          </w:tcPr>
          <w:p w14:paraId="3824BFD6" w14:textId="77777777" w:rsidR="00407EEB" w:rsidRPr="00E330BC" w:rsidRDefault="00407EEB" w:rsidP="00540939">
            <w:pPr>
              <w:jc w:val="center"/>
            </w:pPr>
            <w:r>
              <w:t>200</w:t>
            </w:r>
          </w:p>
        </w:tc>
        <w:tc>
          <w:tcPr>
            <w:tcW w:w="1440" w:type="dxa"/>
          </w:tcPr>
          <w:p w14:paraId="74E0357A" w14:textId="77777777" w:rsidR="00407EEB" w:rsidRPr="00E330BC" w:rsidRDefault="00407EEB" w:rsidP="00540939">
            <w:pPr>
              <w:jc w:val="center"/>
            </w:pPr>
            <w:r>
              <w:t>400</w:t>
            </w:r>
          </w:p>
        </w:tc>
      </w:tr>
      <w:tr w:rsidR="005865BB" w:rsidRPr="004B7027" w14:paraId="4274F199" w14:textId="77777777" w:rsidTr="00885C46">
        <w:trPr>
          <w:jc w:val="center"/>
        </w:trPr>
        <w:tc>
          <w:tcPr>
            <w:tcW w:w="3622" w:type="dxa"/>
            <w:shd w:val="clear" w:color="auto" w:fill="auto"/>
          </w:tcPr>
          <w:p w14:paraId="3E5357D1" w14:textId="42AEE68C" w:rsidR="005865BB" w:rsidRDefault="005865BB" w:rsidP="00540939">
            <w:pPr>
              <w:jc w:val="center"/>
            </w:pPr>
            <w:r>
              <w:t>Number of data repetitions</w:t>
            </w:r>
          </w:p>
        </w:tc>
        <w:tc>
          <w:tcPr>
            <w:tcW w:w="1314" w:type="dxa"/>
          </w:tcPr>
          <w:p w14:paraId="1E5CB0D0" w14:textId="549BAE3B" w:rsidR="005865BB" w:rsidRDefault="005865BB" w:rsidP="00540939">
            <w:pPr>
              <w:jc w:val="center"/>
            </w:pPr>
            <w:r>
              <w:t>1</w:t>
            </w:r>
          </w:p>
        </w:tc>
        <w:tc>
          <w:tcPr>
            <w:tcW w:w="1260" w:type="dxa"/>
          </w:tcPr>
          <w:p w14:paraId="64F7E4C4" w14:textId="4C4A2C8B" w:rsidR="005865BB" w:rsidRDefault="005865BB" w:rsidP="00540939">
            <w:pPr>
              <w:jc w:val="center"/>
            </w:pPr>
            <w:r>
              <w:t>1</w:t>
            </w:r>
          </w:p>
        </w:tc>
        <w:tc>
          <w:tcPr>
            <w:tcW w:w="1260" w:type="dxa"/>
          </w:tcPr>
          <w:p w14:paraId="15101ECE" w14:textId="55F20D03" w:rsidR="005865BB" w:rsidRDefault="005865BB" w:rsidP="00540939">
            <w:pPr>
              <w:jc w:val="center"/>
            </w:pPr>
            <w:r>
              <w:t>2</w:t>
            </w:r>
          </w:p>
        </w:tc>
        <w:tc>
          <w:tcPr>
            <w:tcW w:w="1440" w:type="dxa"/>
          </w:tcPr>
          <w:p w14:paraId="267A7205" w14:textId="1975C422" w:rsidR="005865BB" w:rsidRDefault="005865BB" w:rsidP="00540939">
            <w:pPr>
              <w:jc w:val="center"/>
            </w:pPr>
            <w:r>
              <w:t>3</w:t>
            </w:r>
          </w:p>
        </w:tc>
      </w:tr>
      <w:tr w:rsidR="00FF732F" w:rsidRPr="004B7027" w14:paraId="19D6627C" w14:textId="77777777" w:rsidTr="00885C46">
        <w:trPr>
          <w:jc w:val="center"/>
        </w:trPr>
        <w:tc>
          <w:tcPr>
            <w:tcW w:w="3622" w:type="dxa"/>
            <w:shd w:val="clear" w:color="auto" w:fill="auto"/>
          </w:tcPr>
          <w:p w14:paraId="0D0F2A67" w14:textId="508CF4F4" w:rsidR="00FF732F" w:rsidRDefault="00FF732F" w:rsidP="00540939">
            <w:pPr>
              <w:jc w:val="center"/>
            </w:pPr>
            <w:r>
              <w:t>CP overhead</w:t>
            </w:r>
          </w:p>
        </w:tc>
        <w:tc>
          <w:tcPr>
            <w:tcW w:w="1314" w:type="dxa"/>
          </w:tcPr>
          <w:p w14:paraId="19DA5C21" w14:textId="5331BA1C" w:rsidR="00FF732F" w:rsidRDefault="0070108F" w:rsidP="00540939">
            <w:pPr>
              <w:jc w:val="center"/>
            </w:pPr>
            <w:r>
              <w:t>11.1%</w:t>
            </w:r>
          </w:p>
        </w:tc>
        <w:tc>
          <w:tcPr>
            <w:tcW w:w="1260" w:type="dxa"/>
          </w:tcPr>
          <w:p w14:paraId="690D25FE" w14:textId="6397D776" w:rsidR="00FF732F" w:rsidRDefault="0070108F" w:rsidP="00540939">
            <w:pPr>
              <w:jc w:val="center"/>
            </w:pPr>
            <w:r>
              <w:t>20%</w:t>
            </w:r>
          </w:p>
        </w:tc>
        <w:tc>
          <w:tcPr>
            <w:tcW w:w="1260" w:type="dxa"/>
          </w:tcPr>
          <w:p w14:paraId="38777078" w14:textId="6A8DF90A" w:rsidR="00FF732F" w:rsidRDefault="0070108F" w:rsidP="00540939">
            <w:pPr>
              <w:jc w:val="center"/>
            </w:pPr>
            <w:r>
              <w:t>20%</w:t>
            </w:r>
          </w:p>
        </w:tc>
        <w:tc>
          <w:tcPr>
            <w:tcW w:w="1440" w:type="dxa"/>
          </w:tcPr>
          <w:p w14:paraId="59227459" w14:textId="77D96894" w:rsidR="00FF732F" w:rsidRDefault="0070108F" w:rsidP="00540939">
            <w:pPr>
              <w:jc w:val="center"/>
            </w:pPr>
            <w:r>
              <w:t>25%</w:t>
            </w:r>
          </w:p>
        </w:tc>
      </w:tr>
      <w:tr w:rsidR="005865BB" w:rsidRPr="004B7027" w14:paraId="1ACE2689" w14:textId="77777777" w:rsidTr="00885C46">
        <w:trPr>
          <w:jc w:val="center"/>
        </w:trPr>
        <w:tc>
          <w:tcPr>
            <w:tcW w:w="3622" w:type="dxa"/>
            <w:shd w:val="clear" w:color="auto" w:fill="auto"/>
          </w:tcPr>
          <w:p w14:paraId="0D837844" w14:textId="66A62514" w:rsidR="005865BB" w:rsidRDefault="000F5664" w:rsidP="000F5664">
            <w:pPr>
              <w:jc w:val="center"/>
            </w:pPr>
            <w:r>
              <w:lastRenderedPageBreak/>
              <w:t>Duration of a</w:t>
            </w:r>
            <w:r w:rsidR="002B3AE8">
              <w:t xml:space="preserve"> pair of</w:t>
            </w:r>
            <w:r>
              <w:t xml:space="preserve"> hopping symbols</w:t>
            </w:r>
            <w:r w:rsidR="002B3AE8">
              <w:t xml:space="preserve"> </w:t>
            </w:r>
          </w:p>
        </w:tc>
        <w:tc>
          <w:tcPr>
            <w:tcW w:w="1314" w:type="dxa"/>
          </w:tcPr>
          <w:p w14:paraId="07A9852D" w14:textId="0A89C113" w:rsidR="002B3AE8" w:rsidRDefault="005865BB" w:rsidP="00774EE4">
            <w:pPr>
              <w:jc w:val="center"/>
            </w:pPr>
            <w:r>
              <w:t>0.45 ms</w:t>
            </w:r>
            <w:r w:rsidR="00774EE4">
              <w:t xml:space="preserve"> </w:t>
            </w:r>
            <w:r w:rsidR="002B3AE8">
              <w:t>x2</w:t>
            </w:r>
          </w:p>
        </w:tc>
        <w:tc>
          <w:tcPr>
            <w:tcW w:w="1260" w:type="dxa"/>
          </w:tcPr>
          <w:p w14:paraId="0D66B2DE" w14:textId="3A3C9CBC" w:rsidR="002B3AE8" w:rsidRDefault="005865BB" w:rsidP="00774EE4">
            <w:pPr>
              <w:jc w:val="center"/>
            </w:pPr>
            <w:r>
              <w:t>0.5 ms</w:t>
            </w:r>
            <w:r w:rsidR="00774EE4">
              <w:t xml:space="preserve"> </w:t>
            </w:r>
            <w:r w:rsidR="002B3AE8">
              <w:t>x2</w:t>
            </w:r>
          </w:p>
        </w:tc>
        <w:tc>
          <w:tcPr>
            <w:tcW w:w="1260" w:type="dxa"/>
          </w:tcPr>
          <w:p w14:paraId="37E8A5DF" w14:textId="6B4C89A5" w:rsidR="002B3AE8" w:rsidRDefault="005865BB" w:rsidP="00774EE4">
            <w:pPr>
              <w:jc w:val="center"/>
            </w:pPr>
            <w:r>
              <w:t>1 ms</w:t>
            </w:r>
            <w:r w:rsidR="00774EE4">
              <w:t xml:space="preserve"> </w:t>
            </w:r>
            <w:r w:rsidR="002B3AE8">
              <w:t>x2</w:t>
            </w:r>
          </w:p>
        </w:tc>
        <w:tc>
          <w:tcPr>
            <w:tcW w:w="1440" w:type="dxa"/>
          </w:tcPr>
          <w:p w14:paraId="733030D4" w14:textId="06B11670" w:rsidR="002B3AE8" w:rsidRDefault="005865BB" w:rsidP="00774EE4">
            <w:pPr>
              <w:jc w:val="center"/>
            </w:pPr>
            <w:r>
              <w:t>1.6 ms</w:t>
            </w:r>
            <w:r w:rsidR="00774EE4">
              <w:t xml:space="preserve"> </w:t>
            </w:r>
            <w:r w:rsidR="002B3AE8">
              <w:t>x2</w:t>
            </w:r>
          </w:p>
        </w:tc>
      </w:tr>
      <w:tr w:rsidR="001F0A4A" w:rsidRPr="004B7027" w14:paraId="36E7720F" w14:textId="77777777" w:rsidTr="00885C46">
        <w:trPr>
          <w:jc w:val="center"/>
        </w:trPr>
        <w:tc>
          <w:tcPr>
            <w:tcW w:w="3622" w:type="dxa"/>
            <w:shd w:val="clear" w:color="auto" w:fill="auto"/>
          </w:tcPr>
          <w:p w14:paraId="1E1EC6D0" w14:textId="41081AE8" w:rsidR="001F0A4A" w:rsidRDefault="002B1095" w:rsidP="00540939">
            <w:pPr>
              <w:jc w:val="center"/>
            </w:pPr>
            <w:r>
              <w:t xml:space="preserve">Support of </w:t>
            </w:r>
            <w:r w:rsidR="001F0A4A">
              <w:t>TDD subframe configuration</w:t>
            </w:r>
            <w:r>
              <w:t>s</w:t>
            </w:r>
          </w:p>
        </w:tc>
        <w:tc>
          <w:tcPr>
            <w:tcW w:w="1314" w:type="dxa"/>
          </w:tcPr>
          <w:p w14:paraId="1DBDE6AB" w14:textId="46F46DF5" w:rsidR="001F0A4A" w:rsidRPr="00197701" w:rsidRDefault="001F0A4A" w:rsidP="00540939">
            <w:pPr>
              <w:jc w:val="center"/>
              <w:rPr>
                <w:color w:val="FF0000"/>
              </w:rPr>
            </w:pPr>
            <w:r w:rsidRPr="00197701">
              <w:rPr>
                <w:color w:val="FF0000"/>
              </w:rPr>
              <w:t>All</w:t>
            </w:r>
          </w:p>
        </w:tc>
        <w:tc>
          <w:tcPr>
            <w:tcW w:w="1260" w:type="dxa"/>
          </w:tcPr>
          <w:p w14:paraId="1946DE14" w14:textId="706751D5" w:rsidR="001F0A4A" w:rsidRPr="00197701" w:rsidRDefault="001F0A4A" w:rsidP="00540939">
            <w:pPr>
              <w:jc w:val="center"/>
              <w:rPr>
                <w:color w:val="FF0000"/>
              </w:rPr>
            </w:pPr>
            <w:r w:rsidRPr="00197701">
              <w:rPr>
                <w:color w:val="FF0000"/>
              </w:rPr>
              <w:t>All</w:t>
            </w:r>
          </w:p>
        </w:tc>
        <w:tc>
          <w:tcPr>
            <w:tcW w:w="1260" w:type="dxa"/>
          </w:tcPr>
          <w:p w14:paraId="4EC26255" w14:textId="57BFB4CF" w:rsidR="001F0A4A" w:rsidRDefault="001F0A4A" w:rsidP="00540939">
            <w:pPr>
              <w:jc w:val="center"/>
            </w:pPr>
            <w:r>
              <w:t>Some</w:t>
            </w:r>
          </w:p>
        </w:tc>
        <w:tc>
          <w:tcPr>
            <w:tcW w:w="1440" w:type="dxa"/>
          </w:tcPr>
          <w:p w14:paraId="12433225" w14:textId="70884821" w:rsidR="001F0A4A" w:rsidRDefault="001F0A4A" w:rsidP="00540939">
            <w:pPr>
              <w:jc w:val="center"/>
            </w:pPr>
            <w:r>
              <w:t>Some</w:t>
            </w:r>
          </w:p>
        </w:tc>
      </w:tr>
      <w:tr w:rsidR="00407EEB" w:rsidRPr="004B7027" w14:paraId="49E34517" w14:textId="77777777" w:rsidTr="00885C46">
        <w:trPr>
          <w:jc w:val="center"/>
        </w:trPr>
        <w:tc>
          <w:tcPr>
            <w:tcW w:w="8896" w:type="dxa"/>
            <w:gridSpan w:val="5"/>
            <w:shd w:val="clear" w:color="auto" w:fill="auto"/>
            <w:vAlign w:val="center"/>
          </w:tcPr>
          <w:p w14:paraId="27BAF204" w14:textId="77777777" w:rsidR="00407EEB" w:rsidRDefault="00407EEB" w:rsidP="00540939">
            <w:pPr>
              <w:jc w:val="left"/>
            </w:pPr>
            <w:r>
              <w:t>Note: the cell sizes here only account for round-trip delay. The actual supported cell sizes should be slightly smaller than the values in the table to make some margin for DL sync errors and channel delay spread.</w:t>
            </w:r>
          </w:p>
        </w:tc>
      </w:tr>
    </w:tbl>
    <w:p w14:paraId="2EDE61B1" w14:textId="77777777" w:rsidR="00407EEB" w:rsidRDefault="00407EEB" w:rsidP="00407EEB">
      <w:pPr>
        <w:pStyle w:val="BodyText"/>
        <w:rPr>
          <w:lang w:eastAsia="ko-KR"/>
        </w:rPr>
      </w:pPr>
    </w:p>
    <w:p w14:paraId="3407F10A" w14:textId="642BBA23" w:rsidR="008F24FD" w:rsidRDefault="008F24FD" w:rsidP="006D70FF">
      <w:pPr>
        <w:pStyle w:val="BodyText"/>
      </w:pPr>
      <w:r>
        <w:t xml:space="preserve">From </w:t>
      </w:r>
      <w:r>
        <w:fldChar w:fldCharType="begin"/>
      </w:r>
      <w:r>
        <w:instrText xml:space="preserve"> REF _Ref436731504 \h </w:instrText>
      </w:r>
      <w:r>
        <w:fldChar w:fldCharType="separate"/>
      </w:r>
      <w:r w:rsidR="007D0DD5">
        <w:t xml:space="preserve">Table </w:t>
      </w:r>
      <w:r w:rsidR="007D0DD5">
        <w:rPr>
          <w:noProof/>
        </w:rPr>
        <w:t>2</w:t>
      </w:r>
      <w:r>
        <w:fldChar w:fldCharType="end"/>
      </w:r>
      <w:r>
        <w:t>, it can be seen that with D=4 and 100 us CP, or D=8 and 50 us CP, a pair of hopping symbols can be well fit within 1 ms subframe</w:t>
      </w:r>
      <w:r w:rsidR="00E8387F">
        <w:t>, making the design</w:t>
      </w:r>
      <w:r w:rsidR="00EA7D74">
        <w:t xml:space="preserve"> applicable to all TDD subframe configurations. For the other two choices of hopping distance and CP length,</w:t>
      </w:r>
      <w:r w:rsidR="00EE1782">
        <w:t xml:space="preserve"> some TDD su</w:t>
      </w:r>
      <w:r w:rsidR="0060264B">
        <w:t>bframe configurations can also be supported.</w:t>
      </w:r>
      <w:r w:rsidR="00EA7D74">
        <w:t xml:space="preserve">  </w:t>
      </w:r>
    </w:p>
    <w:p w14:paraId="255C9DC9" w14:textId="5E07196E" w:rsidR="006D70FF" w:rsidRPr="00AA0C0C" w:rsidRDefault="008F24FD" w:rsidP="006D70FF">
      <w:pPr>
        <w:pStyle w:val="BodyText"/>
      </w:pPr>
      <w:r>
        <w:t>Further, i</w:t>
      </w:r>
      <w:r w:rsidR="006D70FF">
        <w:t xml:space="preserve">t can be verified that the phase continuity </w:t>
      </w:r>
      <w:r w:rsidR="008B535B">
        <w:t>can be</w:t>
      </w:r>
      <w:r w:rsidR="006D70FF">
        <w:t xml:space="preserve"> guaranteed with the design of hopping distances and CP lengths given in </w:t>
      </w:r>
      <w:r w:rsidR="006D70FF">
        <w:fldChar w:fldCharType="begin"/>
      </w:r>
      <w:r w:rsidR="006D70FF">
        <w:instrText xml:space="preserve"> REF _Ref436731504 \h </w:instrText>
      </w:r>
      <w:r w:rsidR="006D70FF">
        <w:fldChar w:fldCharType="separate"/>
      </w:r>
      <w:r w:rsidR="007D0DD5">
        <w:t xml:space="preserve">Table </w:t>
      </w:r>
      <w:r w:rsidR="007D0DD5">
        <w:rPr>
          <w:noProof/>
        </w:rPr>
        <w:t>2</w:t>
      </w:r>
      <w:r w:rsidR="006D70FF">
        <w:fldChar w:fldCharType="end"/>
      </w:r>
      <w:r w:rsidR="006D70FF">
        <w:t>. Take D=4 and 100 us CP length for example. Without loss of generality let us consider the OFDM s</w:t>
      </w:r>
      <w:r w:rsidR="006D70FF" w:rsidRPr="00AA0C0C">
        <w:t>ymbol</w:t>
      </w:r>
      <w:r w:rsidR="006D70FF">
        <w:t>s</w:t>
      </w:r>
      <w:r w:rsidR="006D70FF" w:rsidRPr="00AA0C0C">
        <w:t xml:space="preserve"> 1 and 2</w:t>
      </w:r>
      <w:r w:rsidR="006D70FF">
        <w:t xml:space="preserve"> that can be written as  </w:t>
      </w:r>
    </w:p>
    <w:p w14:paraId="6D1DECF3" w14:textId="54713E45" w:rsidR="006D70FF" w:rsidRDefault="006D70FF" w:rsidP="006D70FF">
      <w:pPr>
        <w:pStyle w:val="BodyText"/>
        <w:rPr>
          <w:rFonts w:eastAsiaTheme="minorEastAsia"/>
          <w:iCs/>
        </w:rPr>
      </w:pPr>
      <m:oMathPara>
        <m:oMath>
          <m:r>
            <w:rPr>
              <w:rFonts w:ascii="Cambria Math" w:hAnsi="Cambria Math"/>
            </w:rPr>
            <m:t>x</m:t>
          </m:r>
          <m:d>
            <m:dPr>
              <m:ctrlPr>
                <w:rPr>
                  <w:rFonts w:ascii="Cambria Math" w:hAnsi="Cambria Math"/>
                  <w:i/>
                  <w:iCs/>
                </w:rPr>
              </m:ctrlPr>
            </m:dPr>
            <m:e>
              <m:r>
                <w:rPr>
                  <w:rFonts w:ascii="Cambria Math" w:hAnsi="Cambria Math"/>
                </w:rPr>
                <m:t>t</m:t>
              </m:r>
            </m:e>
          </m:d>
          <m:r>
            <w:rPr>
              <w:rFonts w:ascii="Cambria Math" w:hAnsi="Cambria Math"/>
            </w:rPr>
            <m:t>=x</m:t>
          </m:r>
          <m:d>
            <m:dPr>
              <m:begChr m:val="["/>
              <m:endChr m:val="]"/>
              <m:ctrlPr>
                <w:rPr>
                  <w:rFonts w:ascii="Cambria Math" w:hAnsi="Cambria Math"/>
                  <w:i/>
                  <w:iCs/>
                </w:rPr>
              </m:ctrlPr>
            </m:dPr>
            <m:e>
              <m:r>
                <w:rPr>
                  <w:rFonts w:ascii="Cambria Math" w:hAnsi="Cambria Math"/>
                </w:rPr>
                <m:t>1</m:t>
              </m:r>
            </m:e>
          </m:d>
          <m:sSup>
            <m:sSupPr>
              <m:ctrlPr>
                <w:rPr>
                  <w:rFonts w:ascii="Cambria Math" w:hAnsi="Cambria Math"/>
                  <w:i/>
                  <w:iCs/>
                </w:rPr>
              </m:ctrlPr>
            </m:sSupPr>
            <m:e>
              <m:r>
                <w:rPr>
                  <w:rFonts w:ascii="Cambria Math" w:hAnsi="Cambria Math"/>
                </w:rPr>
                <m:t>e</m:t>
              </m:r>
            </m:e>
            <m:sup>
              <m:r>
                <w:rPr>
                  <w:rFonts w:ascii="Cambria Math" w:hAnsi="Cambria Math"/>
                </w:rPr>
                <m:t>j2π</m:t>
              </m:r>
              <m:f>
                <m:fPr>
                  <m:ctrlPr>
                    <w:rPr>
                      <w:rFonts w:ascii="Cambria Math" w:hAnsi="Cambria Math"/>
                      <w:i/>
                      <w:iCs/>
                    </w:rPr>
                  </m:ctrlPr>
                </m:fPr>
                <m:num>
                  <m:r>
                    <w:rPr>
                      <w:rFonts w:ascii="Cambria Math" w:hAnsi="Cambria Math"/>
                    </w:rPr>
                    <m:t>k</m:t>
                  </m:r>
                </m:num>
                <m:den>
                  <m:r>
                    <w:rPr>
                      <w:rFonts w:ascii="Cambria Math" w:hAnsi="Cambria Math"/>
                    </w:rPr>
                    <m:t>T</m:t>
                  </m:r>
                </m:den>
              </m:f>
              <m:r>
                <w:rPr>
                  <w:rFonts w:ascii="Cambria Math" w:hAnsi="Cambria Math"/>
                </w:rPr>
                <m:t>t</m:t>
              </m:r>
            </m:sup>
          </m:sSup>
          <m:r>
            <w:rPr>
              <w:rFonts w:ascii="Cambria Math" w:hAnsi="Cambria Math"/>
            </w:rPr>
            <m:t>,  t∈</m:t>
          </m:r>
          <m:d>
            <m:dPr>
              <m:begChr m:val="["/>
              <m:endChr m:val="]"/>
              <m:ctrlPr>
                <w:rPr>
                  <w:rFonts w:ascii="Cambria Math" w:hAnsi="Cambria Math"/>
                  <w:i/>
                  <w:iCs/>
                </w:rPr>
              </m:ctrlPr>
            </m:dPr>
            <m:e>
              <m:r>
                <w:rPr>
                  <w:rFonts w:ascii="Cambria Math" w:hAnsi="Cambria Math"/>
                </w:rPr>
                <m:t>0, 1.25T</m:t>
              </m:r>
            </m:e>
          </m:d>
          <m:r>
            <m:rPr>
              <m:sty m:val="p"/>
            </m:rPr>
            <w:rPr>
              <w:rFonts w:ascii="Cambria Math" w:eastAsiaTheme="minorEastAsia" w:hAnsi="Cambria Math"/>
            </w:rPr>
            <w:br/>
          </m:r>
        </m:oMath>
        <m:oMath>
          <m:r>
            <w:rPr>
              <w:rFonts w:ascii="Cambria Math" w:hAnsi="Cambria Math"/>
            </w:rPr>
            <m:t>x</m:t>
          </m:r>
          <m:d>
            <m:dPr>
              <m:ctrlPr>
                <w:rPr>
                  <w:rFonts w:ascii="Cambria Math" w:hAnsi="Cambria Math"/>
                  <w:i/>
                  <w:iCs/>
                </w:rPr>
              </m:ctrlPr>
            </m:dPr>
            <m:e>
              <m:r>
                <w:rPr>
                  <w:rFonts w:ascii="Cambria Math" w:hAnsi="Cambria Math"/>
                </w:rPr>
                <m:t>t</m:t>
              </m:r>
            </m:e>
          </m:d>
          <m:r>
            <w:rPr>
              <w:rFonts w:ascii="Cambria Math" w:hAnsi="Cambria Math"/>
            </w:rPr>
            <m:t>=x</m:t>
          </m:r>
          <m:d>
            <m:dPr>
              <m:begChr m:val="["/>
              <m:endChr m:val="]"/>
              <m:ctrlPr>
                <w:rPr>
                  <w:rFonts w:ascii="Cambria Math" w:hAnsi="Cambria Math"/>
                  <w:i/>
                  <w:iCs/>
                </w:rPr>
              </m:ctrlPr>
            </m:dPr>
            <m:e>
              <m:r>
                <w:rPr>
                  <w:rFonts w:ascii="Cambria Math" w:hAnsi="Cambria Math"/>
                </w:rPr>
                <m:t>2</m:t>
              </m:r>
            </m:e>
          </m:d>
          <m:sSup>
            <m:sSupPr>
              <m:ctrlPr>
                <w:rPr>
                  <w:rFonts w:ascii="Cambria Math" w:hAnsi="Cambria Math"/>
                  <w:i/>
                  <w:iCs/>
                </w:rPr>
              </m:ctrlPr>
            </m:sSupPr>
            <m:e>
              <m:r>
                <w:rPr>
                  <w:rFonts w:ascii="Cambria Math" w:hAnsi="Cambria Math"/>
                </w:rPr>
                <m:t>e</m:t>
              </m:r>
            </m:e>
            <m:sup>
              <m:r>
                <w:rPr>
                  <w:rFonts w:ascii="Cambria Math" w:hAnsi="Cambria Math"/>
                </w:rPr>
                <m:t>j2π</m:t>
              </m:r>
              <m:f>
                <m:fPr>
                  <m:ctrlPr>
                    <w:rPr>
                      <w:rFonts w:ascii="Cambria Math" w:hAnsi="Cambria Math"/>
                      <w:i/>
                      <w:iCs/>
                    </w:rPr>
                  </m:ctrlPr>
                </m:fPr>
                <m:num>
                  <m:r>
                    <w:rPr>
                      <w:rFonts w:ascii="Cambria Math" w:hAnsi="Cambria Math"/>
                    </w:rPr>
                    <m:t>k+4</m:t>
                  </m:r>
                </m:num>
                <m:den>
                  <m:r>
                    <w:rPr>
                      <w:rFonts w:ascii="Cambria Math" w:hAnsi="Cambria Math"/>
                    </w:rPr>
                    <m:t>T</m:t>
                  </m:r>
                </m:den>
              </m:f>
              <m:r>
                <w:rPr>
                  <w:rFonts w:ascii="Cambria Math" w:hAnsi="Cambria Math"/>
                </w:rPr>
                <m:t>t</m:t>
              </m:r>
            </m:sup>
          </m:sSup>
          <m:r>
            <m:rPr>
              <m:sty m:val="p"/>
            </m:rPr>
            <w:rPr>
              <w:rFonts w:ascii="Cambria Math" w:hAnsi="Cambria Math"/>
            </w:rPr>
            <m:t>,</m:t>
          </m:r>
          <m:r>
            <w:rPr>
              <w:rFonts w:ascii="Cambria Math" w:hAnsi="Cambria Math"/>
            </w:rPr>
            <m:t>  t∈</m:t>
          </m:r>
          <m:d>
            <m:dPr>
              <m:begChr m:val="["/>
              <m:endChr m:val="]"/>
              <m:ctrlPr>
                <w:rPr>
                  <w:rFonts w:ascii="Cambria Math" w:hAnsi="Cambria Math"/>
                  <w:i/>
                  <w:iCs/>
                </w:rPr>
              </m:ctrlPr>
            </m:dPr>
            <m:e>
              <m:r>
                <w:rPr>
                  <w:rFonts w:ascii="Cambria Math" w:hAnsi="Cambria Math"/>
                </w:rPr>
                <m:t>1.25T, 2.5T</m:t>
              </m:r>
            </m:e>
          </m:d>
        </m:oMath>
      </m:oMathPara>
    </w:p>
    <w:p w14:paraId="30182AAD" w14:textId="67A3BB8E" w:rsidR="006D70FF" w:rsidRPr="00922513" w:rsidRDefault="006D70FF" w:rsidP="006D70FF">
      <w:pPr>
        <w:pStyle w:val="BodyText"/>
        <w:rPr>
          <w:rFonts w:eastAsiaTheme="minorEastAsia"/>
          <w:iCs/>
        </w:rPr>
      </w:pPr>
      <w:r>
        <w:t>where T=400 us</w:t>
      </w:r>
      <w:r w:rsidR="00A66CEE">
        <w:t xml:space="preserve"> for the 2.5 kHz subcarrier spacing</w:t>
      </w:r>
      <w:r>
        <w:t xml:space="preserve">. </w:t>
      </w:r>
      <w:r w:rsidRPr="00AA0C0C">
        <w:t>Within each</w:t>
      </w:r>
      <w:r w:rsidR="00A66CEE">
        <w:t xml:space="preserve"> OFDM symbol of length 1.25</w:t>
      </w:r>
      <w:r w:rsidRPr="00AA0C0C">
        <w:t>T, the waveform is</w:t>
      </w:r>
      <w:r>
        <w:t xml:space="preserve"> of</w:t>
      </w:r>
      <w:r w:rsidRPr="00AA0C0C">
        <w:t xml:space="preserve"> constant envelope</w:t>
      </w:r>
      <w:r>
        <w:t xml:space="preserve">. </w:t>
      </w:r>
      <w:r w:rsidRPr="00AA0C0C">
        <w:t xml:space="preserve">At </w:t>
      </w:r>
      <w:r w:rsidR="001F3F4B">
        <w:t xml:space="preserve">the </w:t>
      </w:r>
      <w:r w:rsidRPr="00AA0C0C">
        <w:t>symbol boundary</w:t>
      </w:r>
      <w:r>
        <w:t xml:space="preserve">, the </w:t>
      </w:r>
      <w:r w:rsidRPr="00AA0C0C">
        <w:t xml:space="preserve">phase difference is </w:t>
      </w:r>
    </w:p>
    <w:p w14:paraId="2A2A0731" w14:textId="7B406C69" w:rsidR="006D70FF" w:rsidRPr="00AA0C0C" w:rsidRDefault="006D70FF" w:rsidP="006D70FF">
      <w:pPr>
        <w:pStyle w:val="BodyText"/>
        <w:ind w:left="1440"/>
      </w:pPr>
      <m:oMathPara>
        <m:oMath>
          <m:r>
            <w:rPr>
              <w:rFonts w:ascii="Cambria Math" w:hAnsi="Cambria Math"/>
            </w:rPr>
            <m:t>phase</m:t>
          </m:r>
          <m:d>
            <m:dPr>
              <m:ctrlPr>
                <w:rPr>
                  <w:rFonts w:ascii="Cambria Math" w:hAnsi="Cambria Math"/>
                  <w:i/>
                </w:rPr>
              </m:ctrlPr>
            </m:dPr>
            <m:e>
              <m:r>
                <w:rPr>
                  <w:rFonts w:ascii="Cambria Math" w:hAnsi="Cambria Math"/>
                </w:rPr>
                <m:t xml:space="preserve"> </m:t>
              </m:r>
              <m:sSup>
                <m:sSupPr>
                  <m:ctrlPr>
                    <w:rPr>
                      <w:rFonts w:ascii="Cambria Math" w:hAnsi="Cambria Math"/>
                      <w:i/>
                      <w:iCs/>
                    </w:rPr>
                  </m:ctrlPr>
                </m:sSupPr>
                <m:e>
                  <m:r>
                    <w:rPr>
                      <w:rFonts w:ascii="Cambria Math" w:hAnsi="Cambria Math"/>
                    </w:rPr>
                    <m:t>x</m:t>
                  </m:r>
                  <m:ctrlPr>
                    <w:rPr>
                      <w:rFonts w:ascii="Cambria Math" w:hAnsi="Cambria Math"/>
                      <w:i/>
                    </w:rPr>
                  </m:ctrlPr>
                </m:e>
                <m:sup>
                  <m:r>
                    <w:rPr>
                      <w:rFonts w:ascii="Cambria Math" w:hAnsi="Cambria Math"/>
                    </w:rPr>
                    <m:t>*</m:t>
                  </m:r>
                </m:sup>
              </m:sSup>
              <m:d>
                <m:dPr>
                  <m:begChr m:val="["/>
                  <m:endChr m:val="]"/>
                  <m:ctrlPr>
                    <w:rPr>
                      <w:rFonts w:ascii="Cambria Math" w:hAnsi="Cambria Math"/>
                      <w:i/>
                      <w:iCs/>
                    </w:rPr>
                  </m:ctrlPr>
                </m:dPr>
                <m:e>
                  <m:r>
                    <w:rPr>
                      <w:rFonts w:ascii="Cambria Math" w:hAnsi="Cambria Math"/>
                    </w:rPr>
                    <m:t>1</m:t>
                  </m:r>
                </m:e>
              </m:d>
              <m:sSup>
                <m:sSupPr>
                  <m:ctrlPr>
                    <w:rPr>
                      <w:rFonts w:ascii="Cambria Math" w:hAnsi="Cambria Math"/>
                      <w:i/>
                      <w:iCs/>
                    </w:rPr>
                  </m:ctrlPr>
                </m:sSupPr>
                <m:e>
                  <m:r>
                    <w:rPr>
                      <w:rFonts w:ascii="Cambria Math" w:hAnsi="Cambria Math"/>
                    </w:rPr>
                    <m:t>e</m:t>
                  </m:r>
                </m:e>
                <m:sup>
                  <m:r>
                    <w:rPr>
                      <w:rFonts w:ascii="Cambria Math" w:hAnsi="Cambria Math"/>
                    </w:rPr>
                    <m:t>-j2π</m:t>
                  </m:r>
                  <m:f>
                    <m:fPr>
                      <m:ctrlPr>
                        <w:rPr>
                          <w:rFonts w:ascii="Cambria Math" w:hAnsi="Cambria Math"/>
                          <w:i/>
                          <w:iCs/>
                        </w:rPr>
                      </m:ctrlPr>
                    </m:fPr>
                    <m:num>
                      <m:r>
                        <w:rPr>
                          <w:rFonts w:ascii="Cambria Math" w:hAnsi="Cambria Math"/>
                        </w:rPr>
                        <m:t>k</m:t>
                      </m:r>
                    </m:num>
                    <m:den>
                      <m:r>
                        <w:rPr>
                          <w:rFonts w:ascii="Cambria Math" w:hAnsi="Cambria Math"/>
                        </w:rPr>
                        <m:t>T</m:t>
                      </m:r>
                    </m:den>
                  </m:f>
                  <m:r>
                    <w:rPr>
                      <w:rFonts w:ascii="Cambria Math" w:hAnsi="Cambria Math"/>
                    </w:rPr>
                    <m:t>1.25T</m:t>
                  </m:r>
                </m:sup>
              </m:sSup>
              <m:r>
                <w:rPr>
                  <w:rFonts w:ascii="Cambria Math" w:hAnsi="Cambria Math"/>
                </w:rPr>
                <m:t>x</m:t>
              </m:r>
              <m:d>
                <m:dPr>
                  <m:begChr m:val="["/>
                  <m:endChr m:val="]"/>
                  <m:ctrlPr>
                    <w:rPr>
                      <w:rFonts w:ascii="Cambria Math" w:hAnsi="Cambria Math"/>
                      <w:i/>
                    </w:rPr>
                  </m:ctrlPr>
                </m:dPr>
                <m:e>
                  <m:r>
                    <w:rPr>
                      <w:rFonts w:ascii="Cambria Math" w:hAnsi="Cambria Math"/>
                    </w:rPr>
                    <m:t>2</m:t>
                  </m:r>
                </m:e>
              </m:d>
              <m:sSup>
                <m:sSupPr>
                  <m:ctrlPr>
                    <w:rPr>
                      <w:rFonts w:ascii="Cambria Math" w:hAnsi="Cambria Math"/>
                      <w:i/>
                      <w:iCs/>
                    </w:rPr>
                  </m:ctrlPr>
                </m:sSupPr>
                <m:e>
                  <m:r>
                    <w:rPr>
                      <w:rFonts w:ascii="Cambria Math" w:hAnsi="Cambria Math"/>
                    </w:rPr>
                    <m:t>e</m:t>
                  </m:r>
                </m:e>
                <m:sup>
                  <m:r>
                    <w:rPr>
                      <w:rFonts w:ascii="Cambria Math" w:hAnsi="Cambria Math"/>
                    </w:rPr>
                    <m:t>j2π</m:t>
                  </m:r>
                  <m:f>
                    <m:fPr>
                      <m:ctrlPr>
                        <w:rPr>
                          <w:rFonts w:ascii="Cambria Math" w:hAnsi="Cambria Math"/>
                          <w:i/>
                          <w:iCs/>
                        </w:rPr>
                      </m:ctrlPr>
                    </m:fPr>
                    <m:num>
                      <m:r>
                        <w:rPr>
                          <w:rFonts w:ascii="Cambria Math" w:hAnsi="Cambria Math"/>
                        </w:rPr>
                        <m:t>k+4</m:t>
                      </m:r>
                    </m:num>
                    <m:den>
                      <m:r>
                        <w:rPr>
                          <w:rFonts w:ascii="Cambria Math" w:hAnsi="Cambria Math"/>
                        </w:rPr>
                        <m:t>T</m:t>
                      </m:r>
                    </m:den>
                  </m:f>
                  <m:r>
                    <w:rPr>
                      <w:rFonts w:ascii="Cambria Math" w:hAnsi="Cambria Math"/>
                    </w:rPr>
                    <m:t>1.25T</m:t>
                  </m:r>
                </m:sup>
              </m:sSup>
              <m:r>
                <w:rPr>
                  <w:rFonts w:ascii="Cambria Math" w:hAnsi="Cambria Math"/>
                </w:rPr>
                <m:t xml:space="preserve"> </m:t>
              </m:r>
            </m:e>
          </m:d>
          <m:r>
            <w:rPr>
              <w:rFonts w:ascii="Cambria Math" w:hAnsi="Cambria Math"/>
            </w:rPr>
            <m:t>=phase</m:t>
          </m:r>
          <m:d>
            <m:dPr>
              <m:ctrlPr>
                <w:rPr>
                  <w:rFonts w:ascii="Cambria Math" w:hAnsi="Cambria Math"/>
                  <w:i/>
                </w:rPr>
              </m:ctrlPr>
            </m:dPr>
            <m:e>
              <m:r>
                <w:rPr>
                  <w:rFonts w:ascii="Cambria Math" w:hAnsi="Cambria Math"/>
                </w:rPr>
                <m:t xml:space="preserve"> </m:t>
              </m:r>
              <m:sSup>
                <m:sSupPr>
                  <m:ctrlPr>
                    <w:rPr>
                      <w:rFonts w:ascii="Cambria Math" w:hAnsi="Cambria Math"/>
                      <w:i/>
                      <w:iCs/>
                    </w:rPr>
                  </m:ctrlPr>
                </m:sSupPr>
                <m:e>
                  <m:r>
                    <w:rPr>
                      <w:rFonts w:ascii="Cambria Math" w:hAnsi="Cambria Math"/>
                    </w:rPr>
                    <m:t>x</m:t>
                  </m:r>
                  <m:ctrlPr>
                    <w:rPr>
                      <w:rFonts w:ascii="Cambria Math" w:hAnsi="Cambria Math"/>
                      <w:i/>
                    </w:rPr>
                  </m:ctrlPr>
                </m:e>
                <m:sup>
                  <m:r>
                    <w:rPr>
                      <w:rFonts w:ascii="Cambria Math" w:hAnsi="Cambria Math"/>
                    </w:rPr>
                    <m:t>*</m:t>
                  </m:r>
                </m:sup>
              </m:sSup>
              <m:d>
                <m:dPr>
                  <m:begChr m:val="["/>
                  <m:endChr m:val="]"/>
                  <m:ctrlPr>
                    <w:rPr>
                      <w:rFonts w:ascii="Cambria Math" w:hAnsi="Cambria Math"/>
                      <w:i/>
                      <w:iCs/>
                    </w:rPr>
                  </m:ctrlPr>
                </m:dPr>
                <m:e>
                  <m:r>
                    <w:rPr>
                      <w:rFonts w:ascii="Cambria Math" w:hAnsi="Cambria Math"/>
                    </w:rPr>
                    <m:t>1</m:t>
                  </m:r>
                </m:e>
              </m:d>
              <m:r>
                <w:rPr>
                  <w:rFonts w:ascii="Cambria Math" w:hAnsi="Cambria Math"/>
                </w:rPr>
                <m:t>x</m:t>
              </m:r>
              <m:d>
                <m:dPr>
                  <m:begChr m:val="["/>
                  <m:endChr m:val="]"/>
                  <m:ctrlPr>
                    <w:rPr>
                      <w:rFonts w:ascii="Cambria Math" w:hAnsi="Cambria Math"/>
                      <w:i/>
                    </w:rPr>
                  </m:ctrlPr>
                </m:dPr>
                <m:e>
                  <m:r>
                    <w:rPr>
                      <w:rFonts w:ascii="Cambria Math" w:hAnsi="Cambria Math"/>
                    </w:rPr>
                    <m:t>2</m:t>
                  </m:r>
                </m:e>
              </m:d>
              <m:r>
                <w:rPr>
                  <w:rFonts w:ascii="Cambria Math" w:hAnsi="Cambria Math"/>
                </w:rPr>
                <m:t xml:space="preserve"> </m:t>
              </m:r>
            </m:e>
          </m:d>
        </m:oMath>
      </m:oMathPara>
    </w:p>
    <w:p w14:paraId="7EA187BF" w14:textId="74DAF3F1" w:rsidR="00573F6F" w:rsidRDefault="006D70FF" w:rsidP="005F3A8D">
      <w:pPr>
        <w:pStyle w:val="BodyText"/>
      </w:pPr>
      <w:r>
        <w:t>Therefore, sending a constant sequence that</w:t>
      </w:r>
      <w:r w:rsidRPr="00922513">
        <w:t xml:space="preserve"> a</w:t>
      </w:r>
      <w:r>
        <w:t xml:space="preserve">lternates between the two tones </w:t>
      </w:r>
      <w:r w:rsidRPr="00922513">
        <w:t>guarantees phase continuity and</w:t>
      </w:r>
      <w:r>
        <w:t xml:space="preserve"> </w:t>
      </w:r>
      <w:r w:rsidRPr="00922513">
        <w:t>yields 0 dB PAPR</w:t>
      </w:r>
      <w:r>
        <w:t xml:space="preserve"> theoretically. </w:t>
      </w:r>
    </w:p>
    <w:p w14:paraId="1EEEE346" w14:textId="77777777" w:rsidR="00397304" w:rsidRDefault="00397304" w:rsidP="005F3A8D">
      <w:pPr>
        <w:pStyle w:val="BodyText"/>
      </w:pPr>
    </w:p>
    <w:p w14:paraId="4D5117E4" w14:textId="77777777" w:rsidR="00397304" w:rsidRDefault="00397304" w:rsidP="00397304">
      <w:pPr>
        <w:rPr>
          <w:i/>
        </w:rPr>
      </w:pPr>
      <w:r>
        <w:rPr>
          <w:i/>
        </w:rPr>
        <w:t>Proposal 2</w:t>
      </w:r>
      <w:r w:rsidRPr="005A532D">
        <w:rPr>
          <w:i/>
        </w:rPr>
        <w:t xml:space="preserve">: </w:t>
      </w:r>
      <w:r>
        <w:rPr>
          <w:i/>
        </w:rPr>
        <w:t xml:space="preserve">For the </w:t>
      </w:r>
      <w:r w:rsidRPr="005A532D">
        <w:rPr>
          <w:i/>
        </w:rPr>
        <w:t>single tone frequency hopped NB-PRACH</w:t>
      </w:r>
      <w:r>
        <w:rPr>
          <w:i/>
        </w:rPr>
        <w:t xml:space="preserve"> design, t</w:t>
      </w:r>
      <w:r w:rsidRPr="005A532D">
        <w:rPr>
          <w:i/>
        </w:rPr>
        <w:t>he</w:t>
      </w:r>
      <w:r>
        <w:rPr>
          <w:i/>
        </w:rPr>
        <w:t xml:space="preserve"> subcarrier spacing, hopping distance, CP length, and number of data repetitions per symbol should be jointly considered.  </w:t>
      </w:r>
      <w:r w:rsidRPr="005A532D">
        <w:rPr>
          <w:i/>
        </w:rPr>
        <w:t xml:space="preserve"> </w:t>
      </w:r>
    </w:p>
    <w:p w14:paraId="3B4BF37C" w14:textId="65ACE5D7" w:rsidR="00397304" w:rsidRDefault="00397304" w:rsidP="00397304">
      <w:pPr>
        <w:rPr>
          <w:i/>
        </w:rPr>
      </w:pPr>
      <w:r>
        <w:rPr>
          <w:i/>
        </w:rPr>
        <w:t xml:space="preserve">Proposal 3: Use 2.5 kHz subcarrier spacing as a benchmark design for the </w:t>
      </w:r>
      <w:r w:rsidRPr="005A532D">
        <w:rPr>
          <w:i/>
        </w:rPr>
        <w:t>single tone frequency hopped NB-PRACH</w:t>
      </w:r>
      <w:r>
        <w:rPr>
          <w:i/>
        </w:rPr>
        <w:t>, because it well balances many design tradeoffs.</w:t>
      </w:r>
    </w:p>
    <w:p w14:paraId="4D91A775" w14:textId="77777777" w:rsidR="00397304" w:rsidRPr="00573F6F" w:rsidRDefault="00397304" w:rsidP="005F3A8D">
      <w:pPr>
        <w:pStyle w:val="BodyText"/>
      </w:pPr>
    </w:p>
    <w:p w14:paraId="5EECFF11" w14:textId="1553E74C" w:rsidR="00637A2C" w:rsidRDefault="006843DD" w:rsidP="00573F6F">
      <w:pPr>
        <w:pStyle w:val="Heading2"/>
      </w:pPr>
      <w:r>
        <w:t xml:space="preserve">Preamble </w:t>
      </w:r>
      <w:r w:rsidR="002860F4">
        <w:t>Length</w:t>
      </w:r>
      <w:r w:rsidR="006F3D21">
        <w:t>s</w:t>
      </w:r>
    </w:p>
    <w:p w14:paraId="7ADCA97F" w14:textId="1A6D7F01" w:rsidR="0034674D" w:rsidRDefault="005F3A8D" w:rsidP="00993B07">
      <w:r>
        <w:t xml:space="preserve">The selection of the preamble length (denoted as </w:t>
      </w:r>
      <w:r w:rsidRPr="00E850E8">
        <w:rPr>
          <w:i/>
        </w:rPr>
        <w:t>L</w:t>
      </w:r>
      <w:r>
        <w:t xml:space="preserve"> in </w:t>
      </w:r>
      <w:r>
        <w:fldChar w:fldCharType="begin"/>
      </w:r>
      <w:r>
        <w:instrText xml:space="preserve"> REF _Ref436229777 \h </w:instrText>
      </w:r>
      <w:r>
        <w:fldChar w:fldCharType="separate"/>
      </w:r>
      <w:r w:rsidR="007D0DD5">
        <w:t xml:space="preserve">Figure </w:t>
      </w:r>
      <w:r w:rsidR="007D0DD5">
        <w:rPr>
          <w:noProof/>
        </w:rPr>
        <w:t>1</w:t>
      </w:r>
      <w:r>
        <w:fldChar w:fldCharType="end"/>
      </w:r>
      <w:r>
        <w:t xml:space="preserve">) </w:t>
      </w:r>
      <w:r w:rsidR="00A871A3">
        <w:t xml:space="preserve">is relatively straightforward. The length should be long enough to help the BS accumulate enough energy to obtain satisfactory performance including high detection rate, low false alarm rate, and good timing estimation accuracy. Therefore, depending on the coverage target, </w:t>
      </w:r>
      <w:r w:rsidR="00A871A3" w:rsidRPr="00A871A3">
        <w:rPr>
          <w:i/>
        </w:rPr>
        <w:t>L</w:t>
      </w:r>
      <w:r w:rsidR="00A871A3">
        <w:t xml:space="preserve"> can be chosen accordingly. For example, for the design described in </w:t>
      </w:r>
      <w:r w:rsidR="00A871A3">
        <w:fldChar w:fldCharType="begin"/>
      </w:r>
      <w:r w:rsidR="00A871A3">
        <w:instrText xml:space="preserve"> REF _Ref436223730 \r \h </w:instrText>
      </w:r>
      <w:r w:rsidR="00A871A3">
        <w:fldChar w:fldCharType="separate"/>
      </w:r>
      <w:r w:rsidR="007D0DD5">
        <w:t>[3]</w:t>
      </w:r>
      <w:r w:rsidR="00A871A3">
        <w:fldChar w:fldCharType="end"/>
      </w:r>
      <w:r w:rsidR="00A871A3">
        <w:t xml:space="preserve"> (2.5 kHz subcarrier spacing, one-tone hopping distance, 400 us CP, and 3 repetitions in each symbol), L=100 is sufficient to meet the 164 dB MCL target. </w:t>
      </w:r>
    </w:p>
    <w:p w14:paraId="63281FAC" w14:textId="23431528" w:rsidR="006F3D21" w:rsidRDefault="006F3D21" w:rsidP="00993B07">
      <w:r>
        <w:t xml:space="preserve">Multiple lengths may be defined if the single tone frequency hopped </w:t>
      </w:r>
      <w:r w:rsidR="00642468">
        <w:t>NB-PRACH</w:t>
      </w:r>
      <w:r w:rsidR="00234070">
        <w:t xml:space="preserve"> is</w:t>
      </w:r>
      <w:r>
        <w:t xml:space="preserve"> used for different coverage targets.</w:t>
      </w:r>
      <w:r w:rsidR="00234070">
        <w:t xml:space="preserve"> </w:t>
      </w:r>
    </w:p>
    <w:p w14:paraId="3ACB1E17" w14:textId="77777777" w:rsidR="0086661F" w:rsidRDefault="0086661F" w:rsidP="00993B07"/>
    <w:p w14:paraId="6282462D" w14:textId="75ADCBE1" w:rsidR="0086661F" w:rsidRDefault="0086661F" w:rsidP="0086661F">
      <w:pPr>
        <w:rPr>
          <w:i/>
        </w:rPr>
      </w:pPr>
      <w:r>
        <w:rPr>
          <w:i/>
        </w:rPr>
        <w:t>Proposal 4</w:t>
      </w:r>
      <w:r w:rsidRPr="005A532D">
        <w:rPr>
          <w:i/>
        </w:rPr>
        <w:t xml:space="preserve">: </w:t>
      </w:r>
      <w:r>
        <w:rPr>
          <w:i/>
        </w:rPr>
        <w:t xml:space="preserve">For the </w:t>
      </w:r>
      <w:r w:rsidRPr="005A532D">
        <w:rPr>
          <w:i/>
        </w:rPr>
        <w:t>single tone frequency hopped NB-PRACH</w:t>
      </w:r>
      <w:r>
        <w:rPr>
          <w:i/>
        </w:rPr>
        <w:t xml:space="preserve"> design, specify the preamble length(s) based on the coverage target(s).  </w:t>
      </w:r>
      <w:r w:rsidRPr="005A532D">
        <w:rPr>
          <w:i/>
        </w:rPr>
        <w:t xml:space="preserve"> </w:t>
      </w:r>
    </w:p>
    <w:p w14:paraId="6EC6F3FB" w14:textId="77777777" w:rsidR="000529B3" w:rsidRPr="00993B07" w:rsidRDefault="000529B3" w:rsidP="00993B07"/>
    <w:p w14:paraId="6F412AA0" w14:textId="14404D14" w:rsidR="00637A2C" w:rsidRDefault="00AE002C" w:rsidP="00ED6531">
      <w:pPr>
        <w:pStyle w:val="Heading2"/>
      </w:pPr>
      <w:r>
        <w:t xml:space="preserve">Number of </w:t>
      </w:r>
      <w:r w:rsidR="00ED6531">
        <w:t>Preamble</w:t>
      </w:r>
      <w:r>
        <w:t>s</w:t>
      </w:r>
      <w:r w:rsidR="00ED6531">
        <w:t xml:space="preserve"> </w:t>
      </w:r>
    </w:p>
    <w:p w14:paraId="3805B873" w14:textId="5E30BDC7" w:rsidR="00120041" w:rsidRDefault="00120041" w:rsidP="00120041">
      <w:r>
        <w:t xml:space="preserve">With a given user arrival rate, the more the preambles are available, the lower the collision rate is. However, having more preambles may increase the false alarm rate (since the base station has more hypotheses to test) and imposes higher </w:t>
      </w:r>
      <w:r w:rsidR="00642468">
        <w:t>NB-PRACH</w:t>
      </w:r>
      <w:r>
        <w:t xml:space="preserve"> detection computation burden.</w:t>
      </w:r>
    </w:p>
    <w:p w14:paraId="1A94168F" w14:textId="539ACEFB" w:rsidR="00120041" w:rsidRDefault="00120041" w:rsidP="004106AB">
      <w:r>
        <w:lastRenderedPageBreak/>
        <w:t xml:space="preserve">As detailed in </w:t>
      </w:r>
      <w:r>
        <w:fldChar w:fldCharType="begin"/>
      </w:r>
      <w:r>
        <w:instrText xml:space="preserve"> REF _Ref436744393 \r \h </w:instrText>
      </w:r>
      <w:r>
        <w:fldChar w:fldCharType="separate"/>
      </w:r>
      <w:r w:rsidR="007D0DD5">
        <w:t>[8]</w:t>
      </w:r>
      <w:r>
        <w:fldChar w:fldCharType="end"/>
      </w:r>
      <w:r>
        <w:t>,</w:t>
      </w:r>
      <w:r w:rsidRPr="00120041">
        <w:t xml:space="preserve"> </w:t>
      </w:r>
      <w:r>
        <w:t xml:space="preserve">in our view, 64 preambles should be sufficient, considering that the traffic arrival rate is likely to be low (e.g., less than 7 devices/s per the GERAN IoT traffic model </w:t>
      </w:r>
      <w:r>
        <w:fldChar w:fldCharType="begin"/>
      </w:r>
      <w:r>
        <w:instrText xml:space="preserve"> REF _Ref425165970 \r \h </w:instrText>
      </w:r>
      <w:r>
        <w:fldChar w:fldCharType="separate"/>
      </w:r>
      <w:r w:rsidR="007D0DD5">
        <w:t>[7]</w:t>
      </w:r>
      <w:r>
        <w:fldChar w:fldCharType="end"/>
      </w:r>
      <w:r>
        <w:t>). A lower number may also be sufficient.</w:t>
      </w:r>
    </w:p>
    <w:p w14:paraId="1EF62E30" w14:textId="78CAC8FC" w:rsidR="00453445" w:rsidRDefault="00327A9B" w:rsidP="004106AB">
      <w:r>
        <w:t xml:space="preserve">Unlike the Zadoff-Chu sequences based design, the configuration of the number of preambles of single tone frequency hopped </w:t>
      </w:r>
      <w:r w:rsidR="00642468">
        <w:t>NB-PRACH</w:t>
      </w:r>
      <w:r>
        <w:t xml:space="preserve"> can potentially be more flexible. Fo</w:t>
      </w:r>
      <w:r w:rsidR="00120041">
        <w:t>r specified subcarrier spacing</w:t>
      </w:r>
      <w:r>
        <w:t xml:space="preserve">, the system may statically, semi-statically, or dynamically configure a certain amount of bandwidth (up to the 180 kHz system bandwidth) depending on the traffic load. </w:t>
      </w:r>
      <w:r w:rsidR="00120041">
        <w:t xml:space="preserve">As an example, with 80 kHz </w:t>
      </w:r>
      <w:r w:rsidR="00642468">
        <w:t>NB-PRACH</w:t>
      </w:r>
      <w:r w:rsidR="00120041">
        <w:t xml:space="preserve"> bandwidth and 2.5 kHz subcarrier spacing, 32 preambles are available. If the load is high, the system may configure up to 180 kHz </w:t>
      </w:r>
      <w:r w:rsidR="00642468">
        <w:t>NB-PRACH</w:t>
      </w:r>
      <w:r w:rsidR="00120041">
        <w:t xml:space="preserve"> bandwidth for single tone frequency hopped </w:t>
      </w:r>
      <w:r w:rsidR="00642468">
        <w:t>NB-PRACH</w:t>
      </w:r>
      <w:r w:rsidR="00120041">
        <w:t>, effectively resulting in 72 preambles.</w:t>
      </w:r>
    </w:p>
    <w:p w14:paraId="0AB14016" w14:textId="77777777" w:rsidR="003B2F84" w:rsidRDefault="003B2F84" w:rsidP="004106AB"/>
    <w:p w14:paraId="505653BA" w14:textId="3BA754E7" w:rsidR="003B2F84" w:rsidRPr="006F3DD4" w:rsidRDefault="003B2F84" w:rsidP="003B2F84">
      <w:pPr>
        <w:rPr>
          <w:i/>
        </w:rPr>
      </w:pPr>
      <w:r w:rsidRPr="006F3DD4">
        <w:rPr>
          <w:i/>
        </w:rPr>
        <w:t xml:space="preserve">Proposal </w:t>
      </w:r>
      <w:r w:rsidR="000F7F8E" w:rsidRPr="006F3DD4">
        <w:rPr>
          <w:i/>
        </w:rPr>
        <w:t>5</w:t>
      </w:r>
      <w:r w:rsidRPr="006F3DD4">
        <w:rPr>
          <w:i/>
        </w:rPr>
        <w:t xml:space="preserve">: For the single tone frequency hopped NB-PRACH design, the number of preambles can be </w:t>
      </w:r>
      <w:r w:rsidR="006F3DD4" w:rsidRPr="006F3DD4">
        <w:rPr>
          <w:i/>
        </w:rPr>
        <w:t xml:space="preserve">statically, semi-statically, or dynamically </w:t>
      </w:r>
      <w:r w:rsidRPr="006F3DD4">
        <w:rPr>
          <w:i/>
        </w:rPr>
        <w:t>configured by the system.</w:t>
      </w:r>
    </w:p>
    <w:p w14:paraId="21648D56" w14:textId="77777777" w:rsidR="00C841B2" w:rsidRPr="00C841B2" w:rsidRDefault="00C841B2" w:rsidP="005B289F">
      <w:pPr>
        <w:rPr>
          <w:i/>
        </w:rPr>
      </w:pPr>
    </w:p>
    <w:p w14:paraId="11ED0E91" w14:textId="638A8C1D" w:rsidR="00573F6F" w:rsidRDefault="00642468" w:rsidP="00573F6F">
      <w:pPr>
        <w:pStyle w:val="Heading2"/>
      </w:pPr>
      <w:r>
        <w:t>NB-PRACH</w:t>
      </w:r>
      <w:r w:rsidR="0079102B">
        <w:t xml:space="preserve"> Power Setting</w:t>
      </w:r>
    </w:p>
    <w:p w14:paraId="375A4939" w14:textId="6403FDDF" w:rsidR="00DB2D27" w:rsidRDefault="00DB2D27" w:rsidP="004A37FB">
      <w:pPr>
        <w:rPr>
          <w:lang w:val="en-US"/>
        </w:rPr>
      </w:pPr>
      <w:r>
        <w:t xml:space="preserve">Unlike the Zadoff-Chu sequences based design where preambles are separated in the code domain, the </w:t>
      </w:r>
      <w:r>
        <w:rPr>
          <w:lang w:val="en-US"/>
        </w:rPr>
        <w:t xml:space="preserve">single tone frequency hopped </w:t>
      </w:r>
      <w:r w:rsidR="00642468">
        <w:rPr>
          <w:lang w:val="en-US"/>
        </w:rPr>
        <w:t>NB-PRACH</w:t>
      </w:r>
      <w:r>
        <w:rPr>
          <w:lang w:val="en-US"/>
        </w:rPr>
        <w:t xml:space="preserve"> preambles are separated in the frequency domain. Under perfect frequency synchronization, the preamble transmissions are orthogonal and thus near-far problem is not a concern. However, with imperfect frequency synchronization in practice, the preamble transmissions are not perfectly orthogonal, leading to near-far problem</w:t>
      </w:r>
      <w:r w:rsidR="00374BE6">
        <w:rPr>
          <w:lang w:val="en-US"/>
        </w:rPr>
        <w:t xml:space="preserve"> to some extent</w:t>
      </w:r>
      <w:r>
        <w:rPr>
          <w:lang w:val="en-US"/>
        </w:rPr>
        <w:t>.</w:t>
      </w:r>
    </w:p>
    <w:p w14:paraId="3E812FE3" w14:textId="0E452035" w:rsidR="001E71E2" w:rsidRDefault="006147C9" w:rsidP="004A37FB">
      <w:pPr>
        <w:rPr>
          <w:lang w:val="en-US"/>
        </w:rPr>
      </w:pPr>
      <w:r>
        <w:rPr>
          <w:lang w:val="en-US"/>
        </w:rPr>
        <w:t xml:space="preserve">If the single tone frequency hopped </w:t>
      </w:r>
      <w:r w:rsidR="00642468">
        <w:rPr>
          <w:lang w:val="en-US"/>
        </w:rPr>
        <w:t>NB-PRACH</w:t>
      </w:r>
      <w:r>
        <w:rPr>
          <w:lang w:val="en-US"/>
        </w:rPr>
        <w:t xml:space="preserve"> preambles are only used by UEs in extreme coverage, all the deep coverage UEs can send their preambles at the maximum power (a trivial value from the open-loop power control).</w:t>
      </w:r>
      <w:r w:rsidR="000C583D">
        <w:rPr>
          <w:lang w:val="en-US"/>
        </w:rPr>
        <w:t xml:space="preserve"> Otherwise, a power setting mechanism similar to the one described in </w:t>
      </w:r>
      <w:r w:rsidR="000C583D">
        <w:rPr>
          <w:lang w:val="en-US"/>
        </w:rPr>
        <w:fldChar w:fldCharType="begin"/>
      </w:r>
      <w:r w:rsidR="000C583D">
        <w:rPr>
          <w:lang w:val="en-US"/>
        </w:rPr>
        <w:instrText xml:space="preserve"> REF _Ref436744393 \r \h </w:instrText>
      </w:r>
      <w:r w:rsidR="000C583D">
        <w:rPr>
          <w:lang w:val="en-US"/>
        </w:rPr>
      </w:r>
      <w:r w:rsidR="000C583D">
        <w:rPr>
          <w:lang w:val="en-US"/>
        </w:rPr>
        <w:fldChar w:fldCharType="separate"/>
      </w:r>
      <w:r w:rsidR="007D0DD5">
        <w:rPr>
          <w:lang w:val="en-US"/>
        </w:rPr>
        <w:t>[8]</w:t>
      </w:r>
      <w:r w:rsidR="000C583D">
        <w:rPr>
          <w:lang w:val="en-US"/>
        </w:rPr>
        <w:fldChar w:fldCharType="end"/>
      </w:r>
      <w:r w:rsidR="000C583D">
        <w:rPr>
          <w:lang w:val="en-US"/>
        </w:rPr>
        <w:t xml:space="preserve"> can be used.</w:t>
      </w:r>
    </w:p>
    <w:p w14:paraId="0CF14C60" w14:textId="77777777" w:rsidR="001E71E2" w:rsidRDefault="001E71E2" w:rsidP="004A37FB">
      <w:pPr>
        <w:rPr>
          <w:lang w:val="en-US"/>
        </w:rPr>
      </w:pPr>
    </w:p>
    <w:p w14:paraId="7D16F4E6" w14:textId="325002AE" w:rsidR="001E71E2" w:rsidRDefault="001E71E2" w:rsidP="004A37FB">
      <w:pPr>
        <w:rPr>
          <w:i/>
        </w:rPr>
      </w:pPr>
      <w:r w:rsidRPr="001E71E2">
        <w:rPr>
          <w:i/>
          <w:lang w:val="en-US"/>
        </w:rPr>
        <w:t xml:space="preserve">Proposal 6: For UEs in extreme coverage, the transmit power of </w:t>
      </w:r>
      <w:r w:rsidRPr="001E71E2">
        <w:rPr>
          <w:i/>
        </w:rPr>
        <w:t>the single tone frequency hopped NB-PRACH</w:t>
      </w:r>
      <w:r w:rsidR="00E15682">
        <w:rPr>
          <w:i/>
        </w:rPr>
        <w:t xml:space="preserve"> preambles</w:t>
      </w:r>
      <w:r w:rsidRPr="001E71E2">
        <w:rPr>
          <w:i/>
        </w:rPr>
        <w:t xml:space="preserve"> can be set to the maximum power.</w:t>
      </w:r>
    </w:p>
    <w:p w14:paraId="200BBE6B" w14:textId="77777777" w:rsidR="001E71E2" w:rsidRPr="001E71E2" w:rsidRDefault="001E71E2" w:rsidP="004A37FB">
      <w:pPr>
        <w:rPr>
          <w:i/>
          <w:lang w:val="en-US"/>
        </w:rPr>
      </w:pPr>
    </w:p>
    <w:p w14:paraId="69604CDC" w14:textId="7A72F937" w:rsidR="00055FB3" w:rsidRPr="00E330BC" w:rsidRDefault="00055FB3" w:rsidP="00055FB3">
      <w:pPr>
        <w:pStyle w:val="Heading1"/>
      </w:pPr>
      <w:r>
        <w:t>Conclusions</w:t>
      </w:r>
    </w:p>
    <w:p w14:paraId="1C6EB1F9" w14:textId="0B7BF7B6" w:rsidR="006D203B" w:rsidRDefault="00511F61" w:rsidP="00055FB3">
      <w:pPr>
        <w:pStyle w:val="BodyText"/>
      </w:pPr>
      <w:r>
        <w:t xml:space="preserve">In this contribution, we have discussed the various design considerations that should be taken into account for </w:t>
      </w:r>
      <w:r w:rsidR="00ED1D5D">
        <w:rPr>
          <w:lang w:val="en-US"/>
        </w:rPr>
        <w:t xml:space="preserve">the single tone frequency hopped NB-PRACH </w:t>
      </w:r>
      <w:r>
        <w:t>design.</w:t>
      </w:r>
    </w:p>
    <w:p w14:paraId="3EDF48AA" w14:textId="77777777" w:rsidR="00E15682" w:rsidRDefault="00E15682" w:rsidP="00055FB3">
      <w:pPr>
        <w:pStyle w:val="BodyText"/>
      </w:pPr>
    </w:p>
    <w:p w14:paraId="5A4908B1" w14:textId="77777777" w:rsidR="00E15682" w:rsidRDefault="00E15682" w:rsidP="00E15682">
      <w:pPr>
        <w:rPr>
          <w:i/>
        </w:rPr>
      </w:pPr>
      <w:r w:rsidRPr="005A532D">
        <w:rPr>
          <w:i/>
        </w:rPr>
        <w:t>Proposal 1: The usage of the single tone frequency hopped NB-PRACH should be limited to a small set of UEs that are in extreme coverage.</w:t>
      </w:r>
    </w:p>
    <w:p w14:paraId="1F4553C1" w14:textId="77777777" w:rsidR="006F3DD4" w:rsidRDefault="006F3DD4" w:rsidP="006F3DD4">
      <w:pPr>
        <w:rPr>
          <w:i/>
        </w:rPr>
      </w:pPr>
      <w:r>
        <w:rPr>
          <w:i/>
        </w:rPr>
        <w:t>Proposal 2</w:t>
      </w:r>
      <w:r w:rsidRPr="005A532D">
        <w:rPr>
          <w:i/>
        </w:rPr>
        <w:t xml:space="preserve">: </w:t>
      </w:r>
      <w:r>
        <w:rPr>
          <w:i/>
        </w:rPr>
        <w:t xml:space="preserve">For the </w:t>
      </w:r>
      <w:r w:rsidRPr="005A532D">
        <w:rPr>
          <w:i/>
        </w:rPr>
        <w:t>single tone frequency hopped NB-PRACH</w:t>
      </w:r>
      <w:r>
        <w:rPr>
          <w:i/>
        </w:rPr>
        <w:t xml:space="preserve"> design, t</w:t>
      </w:r>
      <w:r w:rsidRPr="005A532D">
        <w:rPr>
          <w:i/>
        </w:rPr>
        <w:t>he</w:t>
      </w:r>
      <w:r>
        <w:rPr>
          <w:i/>
        </w:rPr>
        <w:t xml:space="preserve"> subcarrier spacing, hopping distance, CP length, and number of data repetitions per symbol should be jointly considered.  </w:t>
      </w:r>
      <w:r w:rsidRPr="005A532D">
        <w:rPr>
          <w:i/>
        </w:rPr>
        <w:t xml:space="preserve"> </w:t>
      </w:r>
    </w:p>
    <w:p w14:paraId="309C5079" w14:textId="50E77123" w:rsidR="006F3DD4" w:rsidRDefault="006F3DD4" w:rsidP="00E15682">
      <w:pPr>
        <w:rPr>
          <w:i/>
        </w:rPr>
      </w:pPr>
      <w:r>
        <w:rPr>
          <w:i/>
        </w:rPr>
        <w:t xml:space="preserve">Proposal 3: Use 2.5 kHz subcarrier spacing as a benchmark design for the </w:t>
      </w:r>
      <w:r w:rsidRPr="005A532D">
        <w:rPr>
          <w:i/>
        </w:rPr>
        <w:t>single tone frequency hopped NB-PRACH</w:t>
      </w:r>
      <w:r>
        <w:rPr>
          <w:i/>
        </w:rPr>
        <w:t xml:space="preserve"> design, because it well balances many design tradeoffs.</w:t>
      </w:r>
    </w:p>
    <w:p w14:paraId="18A68357" w14:textId="058DEBD0" w:rsidR="00EC1754" w:rsidRPr="006F3DD4" w:rsidRDefault="006F3DD4" w:rsidP="006F3DD4">
      <w:pPr>
        <w:rPr>
          <w:i/>
        </w:rPr>
      </w:pPr>
      <w:r>
        <w:rPr>
          <w:i/>
        </w:rPr>
        <w:t>Proposal 4</w:t>
      </w:r>
      <w:r w:rsidRPr="005A532D">
        <w:rPr>
          <w:i/>
        </w:rPr>
        <w:t xml:space="preserve">: </w:t>
      </w:r>
      <w:r>
        <w:rPr>
          <w:i/>
        </w:rPr>
        <w:t xml:space="preserve">For the </w:t>
      </w:r>
      <w:r w:rsidRPr="005A532D">
        <w:rPr>
          <w:i/>
        </w:rPr>
        <w:t>single tone frequency hopped NB-PRACH</w:t>
      </w:r>
      <w:r>
        <w:rPr>
          <w:i/>
        </w:rPr>
        <w:t xml:space="preserve"> design, specify the preamble length(s) based on the coverage target(s).  </w:t>
      </w:r>
      <w:r w:rsidRPr="005A532D">
        <w:rPr>
          <w:i/>
        </w:rPr>
        <w:t xml:space="preserve"> </w:t>
      </w:r>
    </w:p>
    <w:p w14:paraId="47E113AE" w14:textId="3E7E6E43" w:rsidR="006F3DD4" w:rsidRPr="006F3DD4" w:rsidRDefault="006F3DD4" w:rsidP="006F3DD4">
      <w:pPr>
        <w:rPr>
          <w:i/>
        </w:rPr>
      </w:pPr>
      <w:r w:rsidRPr="006F3DD4">
        <w:rPr>
          <w:i/>
        </w:rPr>
        <w:t>Proposal 5: For the single tone frequency hopped NB-PRACH design, the number of preambles can be statically, semi-statically, or dynamically configured by the system.</w:t>
      </w:r>
    </w:p>
    <w:p w14:paraId="162FAA61" w14:textId="452A319B" w:rsidR="00E15682" w:rsidRDefault="00E15682" w:rsidP="00E15682">
      <w:pPr>
        <w:rPr>
          <w:i/>
        </w:rPr>
      </w:pPr>
      <w:r w:rsidRPr="001E71E2">
        <w:rPr>
          <w:i/>
          <w:lang w:val="en-US"/>
        </w:rPr>
        <w:t xml:space="preserve">Proposal 6: For UEs in extreme coverage, the transmit power of </w:t>
      </w:r>
      <w:r w:rsidRPr="001E71E2">
        <w:rPr>
          <w:i/>
        </w:rPr>
        <w:t>the single tone frequency hopped NB-PRACH</w:t>
      </w:r>
      <w:r>
        <w:rPr>
          <w:i/>
        </w:rPr>
        <w:t xml:space="preserve"> </w:t>
      </w:r>
      <w:r w:rsidR="00CC5EEF">
        <w:rPr>
          <w:i/>
        </w:rPr>
        <w:t>preambles</w:t>
      </w:r>
      <w:r w:rsidRPr="001E71E2">
        <w:rPr>
          <w:i/>
        </w:rPr>
        <w:t xml:space="preserve"> can be set to the maximum power.</w:t>
      </w:r>
    </w:p>
    <w:p w14:paraId="47095953" w14:textId="77777777" w:rsidR="00EC1754" w:rsidRPr="00C27207" w:rsidRDefault="00EC1754" w:rsidP="00055FB3">
      <w:pPr>
        <w:pStyle w:val="BodyText"/>
      </w:pPr>
    </w:p>
    <w:p w14:paraId="607185F1" w14:textId="411A40B9" w:rsidR="00055FB3" w:rsidRPr="00055FB3" w:rsidRDefault="00525201" w:rsidP="00990218">
      <w:pPr>
        <w:pStyle w:val="Heading1"/>
        <w:numPr>
          <w:ilvl w:val="0"/>
          <w:numId w:val="3"/>
        </w:numPr>
        <w:rPr>
          <w:lang w:val="en-US"/>
        </w:rPr>
      </w:pPr>
      <w:r w:rsidRPr="00FE1F13">
        <w:rPr>
          <w:lang w:val="en-US"/>
        </w:rPr>
        <w:lastRenderedPageBreak/>
        <w:t>References</w:t>
      </w:r>
    </w:p>
    <w:p w14:paraId="61FF528C" w14:textId="5215ED5A" w:rsidR="00BD48C2" w:rsidRDefault="00594E36" w:rsidP="00990218">
      <w:pPr>
        <w:pStyle w:val="Reference"/>
        <w:numPr>
          <w:ilvl w:val="0"/>
          <w:numId w:val="1"/>
        </w:numPr>
        <w:tabs>
          <w:tab w:val="clear" w:pos="360"/>
        </w:tabs>
        <w:overflowPunct/>
        <w:autoSpaceDE/>
        <w:autoSpaceDN/>
        <w:adjustRightInd/>
        <w:spacing w:after="200" w:line="276" w:lineRule="auto"/>
        <w:ind w:left="357" w:hanging="357"/>
        <w:jc w:val="left"/>
        <w:textAlignment w:val="auto"/>
      </w:pPr>
      <w:bookmarkStart w:id="8" w:name="_Ref433894019"/>
      <w:bookmarkStart w:id="9" w:name="_Ref430944728"/>
      <w:r>
        <w:rPr>
          <w:lang w:val="en-US"/>
        </w:rPr>
        <w:t>R</w:t>
      </w:r>
      <w:r w:rsidR="00F5137F">
        <w:t>P-151621, “New Work Item: NarrowBand IOT (NB-IOT),” source Qualcomm Inc., RAN #69.</w:t>
      </w:r>
      <w:bookmarkEnd w:id="8"/>
    </w:p>
    <w:p w14:paraId="08567AD8" w14:textId="7A03F1CF" w:rsidR="00741459" w:rsidRDefault="00570767" w:rsidP="00990218">
      <w:pPr>
        <w:pStyle w:val="Reference"/>
        <w:numPr>
          <w:ilvl w:val="0"/>
          <w:numId w:val="1"/>
        </w:numPr>
        <w:overflowPunct/>
        <w:autoSpaceDE/>
        <w:autoSpaceDN/>
        <w:adjustRightInd/>
        <w:spacing w:after="200" w:line="276" w:lineRule="auto"/>
        <w:jc w:val="left"/>
        <w:textAlignment w:val="auto"/>
      </w:pPr>
      <w:bookmarkStart w:id="10" w:name="_Ref436223503"/>
      <w:r>
        <w:t>RP-152284, “New Work Item: Narrowband IoT (NB-IoT),” sources Huawei and HiSilicon, RAN #70</w:t>
      </w:r>
      <w:r w:rsidR="00741459">
        <w:t>.</w:t>
      </w:r>
      <w:bookmarkEnd w:id="10"/>
    </w:p>
    <w:p w14:paraId="65320058" w14:textId="392AB580" w:rsidR="001B32BE" w:rsidRDefault="001B32BE" w:rsidP="00990218">
      <w:pPr>
        <w:pStyle w:val="Reference"/>
        <w:numPr>
          <w:ilvl w:val="0"/>
          <w:numId w:val="1"/>
        </w:numPr>
        <w:overflowPunct/>
        <w:autoSpaceDE/>
        <w:autoSpaceDN/>
        <w:adjustRightInd/>
        <w:spacing w:after="200" w:line="276" w:lineRule="auto"/>
        <w:jc w:val="left"/>
        <w:textAlignment w:val="auto"/>
      </w:pPr>
      <w:bookmarkStart w:id="11" w:name="_Ref436223730"/>
      <w:r>
        <w:t>R1-157424, “</w:t>
      </w:r>
      <w:r w:rsidRPr="001B32BE">
        <w:t xml:space="preserve">NB-IoT - Random </w:t>
      </w:r>
      <w:r w:rsidR="0070296D">
        <w:t>Access D</w:t>
      </w:r>
      <w:r w:rsidRPr="001B32BE">
        <w:t>esign</w:t>
      </w:r>
      <w:r>
        <w:t>,” source Ericsson, RAN1 #83.</w:t>
      </w:r>
      <w:bookmarkEnd w:id="11"/>
    </w:p>
    <w:p w14:paraId="19EF1E56" w14:textId="02BB4E92" w:rsidR="00A430A8" w:rsidRDefault="001562B9" w:rsidP="00990218">
      <w:pPr>
        <w:pStyle w:val="Reference"/>
        <w:numPr>
          <w:ilvl w:val="0"/>
          <w:numId w:val="1"/>
        </w:numPr>
        <w:overflowPunct/>
        <w:autoSpaceDE/>
        <w:autoSpaceDN/>
        <w:adjustRightInd/>
        <w:spacing w:after="200" w:line="276" w:lineRule="auto"/>
        <w:jc w:val="left"/>
        <w:textAlignment w:val="auto"/>
      </w:pPr>
      <w:bookmarkStart w:id="12" w:name="_Ref436224860"/>
      <w:r>
        <w:t>R1-157388</w:t>
      </w:r>
      <w:r w:rsidR="00A430A8">
        <w:t>, “</w:t>
      </w:r>
      <w:r w:rsidR="00A430A8" w:rsidRPr="00A430A8">
        <w:t>N</w:t>
      </w:r>
      <w:r w:rsidR="00A430A8">
        <w:t>B-</w:t>
      </w:r>
      <w:r w:rsidR="00A430A8" w:rsidRPr="00A430A8">
        <w:t>IoT – Random Access Evaluation in Standalone Deployment</w:t>
      </w:r>
      <w:r w:rsidR="00A430A8">
        <w:t>,” source Ericsson, RAN1 #83.</w:t>
      </w:r>
      <w:bookmarkEnd w:id="12"/>
    </w:p>
    <w:p w14:paraId="54BF1BBD" w14:textId="4A8BABB1" w:rsidR="00A430A8" w:rsidRDefault="00C63025" w:rsidP="00990218">
      <w:pPr>
        <w:pStyle w:val="Reference"/>
        <w:numPr>
          <w:ilvl w:val="0"/>
          <w:numId w:val="1"/>
        </w:numPr>
        <w:overflowPunct/>
        <w:autoSpaceDE/>
        <w:autoSpaceDN/>
        <w:adjustRightInd/>
        <w:spacing w:after="200" w:line="276" w:lineRule="auto"/>
        <w:jc w:val="left"/>
        <w:textAlignment w:val="auto"/>
      </w:pPr>
      <w:bookmarkStart w:id="13" w:name="_Ref436224862"/>
      <w:r>
        <w:t>R1-157400</w:t>
      </w:r>
      <w:r w:rsidR="00A430A8">
        <w:t>, “NB-</w:t>
      </w:r>
      <w:r w:rsidR="00A430A8" w:rsidRPr="00A430A8">
        <w:t xml:space="preserve">IoT – Random Access Evaluation in </w:t>
      </w:r>
      <w:r w:rsidR="00A430A8">
        <w:t>Guardband</w:t>
      </w:r>
      <w:r w:rsidR="00A430A8" w:rsidRPr="00A430A8">
        <w:t xml:space="preserve"> Deployment</w:t>
      </w:r>
      <w:r w:rsidR="00A430A8">
        <w:t>,</w:t>
      </w:r>
      <w:r w:rsidR="00F40989">
        <w:t>”</w:t>
      </w:r>
      <w:r w:rsidR="00A430A8">
        <w:t xml:space="preserve"> source Ericsson, RAN1 #83.</w:t>
      </w:r>
      <w:bookmarkEnd w:id="13"/>
    </w:p>
    <w:p w14:paraId="76A435A6" w14:textId="628A816F" w:rsidR="00A430A8" w:rsidRDefault="00C63025" w:rsidP="00990218">
      <w:pPr>
        <w:pStyle w:val="Reference"/>
        <w:numPr>
          <w:ilvl w:val="0"/>
          <w:numId w:val="1"/>
        </w:numPr>
        <w:overflowPunct/>
        <w:autoSpaceDE/>
        <w:autoSpaceDN/>
        <w:adjustRightInd/>
        <w:spacing w:after="200" w:line="276" w:lineRule="auto"/>
        <w:jc w:val="left"/>
        <w:textAlignment w:val="auto"/>
      </w:pPr>
      <w:bookmarkStart w:id="14" w:name="_Ref436224863"/>
      <w:r>
        <w:t>R1-157525</w:t>
      </w:r>
      <w:r w:rsidR="00A430A8">
        <w:t>, “NB-</w:t>
      </w:r>
      <w:r w:rsidR="00A430A8" w:rsidRPr="00A430A8">
        <w:t>IoT – Random</w:t>
      </w:r>
      <w:r w:rsidR="00A430A8">
        <w:t xml:space="preserve"> Access Evaluation in Inband</w:t>
      </w:r>
      <w:r w:rsidR="00A430A8" w:rsidRPr="00A430A8">
        <w:t xml:space="preserve"> Deployment</w:t>
      </w:r>
      <w:r w:rsidR="00A430A8">
        <w:t>,</w:t>
      </w:r>
      <w:r w:rsidR="00F40989">
        <w:t>”</w:t>
      </w:r>
      <w:r w:rsidR="00A430A8">
        <w:t xml:space="preserve"> source Ericsson, RAN1 #83.</w:t>
      </w:r>
      <w:bookmarkEnd w:id="14"/>
    </w:p>
    <w:p w14:paraId="64E6F5AC" w14:textId="0971864C" w:rsidR="00FD1717" w:rsidRPr="00F40989" w:rsidRDefault="00FD1717" w:rsidP="00990218">
      <w:pPr>
        <w:pStyle w:val="Reference"/>
        <w:numPr>
          <w:ilvl w:val="0"/>
          <w:numId w:val="1"/>
        </w:numPr>
        <w:tabs>
          <w:tab w:val="clear" w:pos="360"/>
        </w:tabs>
        <w:overflowPunct/>
        <w:autoSpaceDE/>
        <w:autoSpaceDN/>
        <w:adjustRightInd/>
        <w:spacing w:after="200" w:line="276" w:lineRule="auto"/>
        <w:ind w:left="357" w:hanging="357"/>
        <w:jc w:val="left"/>
        <w:textAlignment w:val="auto"/>
      </w:pPr>
      <w:bookmarkStart w:id="15" w:name="_Ref425165970"/>
      <w:r w:rsidRPr="00FD1717">
        <w:rPr>
          <w:rFonts w:cs="NimbusRomNo9L-Regu"/>
          <w:color w:val="231F20"/>
        </w:rPr>
        <w:t>3GPP TR 45.820</w:t>
      </w:r>
      <w:r w:rsidRPr="004B7027">
        <w:rPr>
          <w:rFonts w:cs="NimbusRomNo9L-Regu"/>
          <w:color w:val="231F20"/>
        </w:rPr>
        <w:t xml:space="preserve">, “Technical Specification Group GSM/EDGE Radio Access Network; Cellular System; Support for Ultra Low Complexity and Low Throughput Internet of Things; (Release 13),” </w:t>
      </w:r>
      <w:r w:rsidR="00F40989" w:rsidRPr="00F40989">
        <w:rPr>
          <w:rFonts w:cs="NimbusRomNo9L-Regu"/>
        </w:rPr>
        <w:t>www.3gpp.org</w:t>
      </w:r>
      <w:r w:rsidRPr="004B7027">
        <w:rPr>
          <w:rFonts w:cs="NimbusRomNo9L-Regu"/>
          <w:color w:val="231F20"/>
        </w:rPr>
        <w:t>.</w:t>
      </w:r>
      <w:bookmarkEnd w:id="15"/>
    </w:p>
    <w:p w14:paraId="5D3730BA" w14:textId="731A811C" w:rsidR="00F40989" w:rsidRPr="004B7027" w:rsidRDefault="00E154FC" w:rsidP="00F40989">
      <w:pPr>
        <w:pStyle w:val="Reference"/>
        <w:numPr>
          <w:ilvl w:val="0"/>
          <w:numId w:val="1"/>
        </w:numPr>
        <w:overflowPunct/>
        <w:autoSpaceDE/>
        <w:autoSpaceDN/>
        <w:adjustRightInd/>
        <w:spacing w:after="200" w:line="276" w:lineRule="auto"/>
        <w:jc w:val="left"/>
        <w:textAlignment w:val="auto"/>
      </w:pPr>
      <w:bookmarkStart w:id="16" w:name="_Ref436744393"/>
      <w:r>
        <w:rPr>
          <w:rFonts w:cs="NimbusRomNo9L-Regu"/>
          <w:color w:val="231F20"/>
        </w:rPr>
        <w:t>R1-160094</w:t>
      </w:r>
      <w:r w:rsidR="00F40989">
        <w:rPr>
          <w:rFonts w:cs="NimbusRomNo9L-Regu"/>
          <w:color w:val="231F20"/>
        </w:rPr>
        <w:t xml:space="preserve">, “NB-IoT </w:t>
      </w:r>
      <w:r w:rsidR="00E30345">
        <w:t>–</w:t>
      </w:r>
      <w:r w:rsidR="00F40989">
        <w:rPr>
          <w:rFonts w:cs="NimbusRomNo9L-Regu"/>
          <w:color w:val="231F20"/>
        </w:rPr>
        <w:t xml:space="preserve"> </w:t>
      </w:r>
      <w:r w:rsidR="00F40989" w:rsidRPr="00F40989">
        <w:rPr>
          <w:rFonts w:cs="NimbusRomNo9L-Regu"/>
          <w:color w:val="231F20"/>
        </w:rPr>
        <w:t>Design Considerations for Z</w:t>
      </w:r>
      <w:r w:rsidR="00F40989">
        <w:rPr>
          <w:rFonts w:cs="NimbusRomNo9L-Regu"/>
          <w:color w:val="231F20"/>
        </w:rPr>
        <w:t xml:space="preserve">adoff-Chu Sequences Based </w:t>
      </w:r>
      <w:r w:rsidR="00642468">
        <w:rPr>
          <w:rFonts w:cs="NimbusRomNo9L-Regu"/>
          <w:color w:val="231F20"/>
        </w:rPr>
        <w:t>NB-PRACH</w:t>
      </w:r>
      <w:r w:rsidR="00ED7EB7">
        <w:rPr>
          <w:rFonts w:cs="NimbusRomNo9L-Regu"/>
          <w:color w:val="231F20"/>
        </w:rPr>
        <w:t>,</w:t>
      </w:r>
      <w:r w:rsidR="00F40989">
        <w:rPr>
          <w:rFonts w:cs="NimbusRomNo9L-Regu"/>
          <w:color w:val="231F20"/>
        </w:rPr>
        <w:t>”</w:t>
      </w:r>
      <w:r w:rsidR="00ED7EB7">
        <w:rPr>
          <w:rFonts w:cs="NimbusRomNo9L-Regu"/>
          <w:color w:val="231F20"/>
        </w:rPr>
        <w:t xml:space="preserve"> </w:t>
      </w:r>
      <w:r w:rsidR="00ED7EB7">
        <w:t>source Ericsson, RAN1</w:t>
      </w:r>
      <w:r>
        <w:t xml:space="preserve"> NB-IoT</w:t>
      </w:r>
      <w:r w:rsidR="00ED7EB7">
        <w:t xml:space="preserve"> </w:t>
      </w:r>
      <w:r>
        <w:t>A</w:t>
      </w:r>
      <w:r w:rsidR="00E30345">
        <w:t xml:space="preserve">d </w:t>
      </w:r>
      <w:r>
        <w:t>H</w:t>
      </w:r>
      <w:r w:rsidR="00E30345">
        <w:t>oc</w:t>
      </w:r>
      <w:r>
        <w:t>, January 2016</w:t>
      </w:r>
      <w:r w:rsidR="00E30345">
        <w:t>.</w:t>
      </w:r>
      <w:bookmarkEnd w:id="16"/>
    </w:p>
    <w:bookmarkEnd w:id="9"/>
    <w:p w14:paraId="334DCB33" w14:textId="77777777" w:rsidR="00102B71" w:rsidRPr="00102B71" w:rsidRDefault="00102B71" w:rsidP="00102B71">
      <w:pPr>
        <w:pStyle w:val="Reference"/>
        <w:numPr>
          <w:ilvl w:val="0"/>
          <w:numId w:val="0"/>
        </w:numPr>
        <w:overflowPunct/>
        <w:autoSpaceDE/>
        <w:autoSpaceDN/>
        <w:adjustRightInd/>
        <w:spacing w:after="200" w:line="276" w:lineRule="auto"/>
        <w:jc w:val="left"/>
        <w:textAlignment w:val="auto"/>
        <w:rPr>
          <w:highlight w:val="yellow"/>
        </w:rPr>
      </w:pPr>
    </w:p>
    <w:sectPr w:rsidR="00102B71" w:rsidRPr="00102B71" w:rsidSect="003B5666">
      <w:headerReference w:type="default" r:id="rId13"/>
      <w:footerReference w:type="default" r:id="rId14"/>
      <w:headerReference w:type="first" r:id="rId15"/>
      <w:footerReference w:type="first" r:id="rId1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0A7336" w14:textId="77777777" w:rsidR="00155B7A" w:rsidRDefault="00155B7A">
      <w:pPr>
        <w:spacing w:after="0"/>
      </w:pPr>
      <w:r>
        <w:separator/>
      </w:r>
    </w:p>
  </w:endnote>
  <w:endnote w:type="continuationSeparator" w:id="0">
    <w:p w14:paraId="372DCB95" w14:textId="77777777" w:rsidR="00155B7A" w:rsidRDefault="00155B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imbusRomNo9L-Regu">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061B41" w:rsidRDefault="00061B41">
    <w:pPr>
      <w:pStyle w:val="Footer"/>
      <w:ind w:right="-1521"/>
    </w:pPr>
    <w:r>
      <w:rPr>
        <w:rStyle w:val="PageNumber"/>
      </w:rPr>
      <w:fldChar w:fldCharType="begin"/>
    </w:r>
    <w:r>
      <w:rPr>
        <w:rStyle w:val="PageNumber"/>
      </w:rPr>
      <w:instrText xml:space="preserve"> PAGE </w:instrText>
    </w:r>
    <w:r>
      <w:rPr>
        <w:rStyle w:val="PageNumber"/>
      </w:rPr>
      <w:fldChar w:fldCharType="separate"/>
    </w:r>
    <w:r w:rsidR="003346C1">
      <w:rPr>
        <w:rStyle w:val="PageNumber"/>
      </w:rPr>
      <w:t>2</w:t>
    </w:r>
    <w:r>
      <w:rPr>
        <w:rStyle w:val="PageNumber"/>
      </w:rPr>
      <w:fldChar w:fldCharType="end"/>
    </w:r>
    <w:bookmarkStart w:id="1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46C1">
      <w:rPr>
        <w:rStyle w:val="PageNumber"/>
      </w:rPr>
      <w:t>7</w:t>
    </w:r>
    <w:r>
      <w:rPr>
        <w:rStyle w:val="PageNumber"/>
      </w:rPr>
      <w:fldChar w:fldCharType="end"/>
    </w:r>
    <w:r>
      <w:rPr>
        <w:rStyle w:val="PageNumber"/>
      </w:rPr>
      <w:t>)</w:t>
    </w:r>
    <w:bookmarkEnd w:id="1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061B41" w:rsidRDefault="00061B41">
    <w:pPr>
      <w:pStyle w:val="Footer"/>
    </w:pPr>
    <w:r>
      <w:rPr>
        <w:rStyle w:val="PageNumber"/>
      </w:rPr>
      <w:fldChar w:fldCharType="begin"/>
    </w:r>
    <w:r>
      <w:rPr>
        <w:rStyle w:val="PageNumber"/>
      </w:rPr>
      <w:instrText xml:space="preserve"> PAGE </w:instrText>
    </w:r>
    <w:r>
      <w:rPr>
        <w:rStyle w:val="PageNumber"/>
      </w:rPr>
      <w:fldChar w:fldCharType="separate"/>
    </w:r>
    <w:r w:rsidR="003346C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46C1">
      <w:rPr>
        <w:rStyle w:val="PageNumber"/>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6AF780" w14:textId="77777777" w:rsidR="00155B7A" w:rsidRDefault="00155B7A">
      <w:pPr>
        <w:spacing w:after="0"/>
      </w:pPr>
      <w:r>
        <w:separator/>
      </w:r>
    </w:p>
  </w:footnote>
  <w:footnote w:type="continuationSeparator" w:id="0">
    <w:p w14:paraId="0FA8FBCB" w14:textId="77777777" w:rsidR="00155B7A" w:rsidRDefault="00155B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061B41" w:rsidRPr="006A0FC7" w:rsidRDefault="00061B41"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061B41" w:rsidRPr="00BF30DA" w:rsidRDefault="00061B41"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65E672E"/>
    <w:multiLevelType w:val="hybridMultilevel"/>
    <w:tmpl w:val="15C6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113E9E"/>
    <w:multiLevelType w:val="singleLevel"/>
    <w:tmpl w:val="B4D4D9E8"/>
    <w:lvl w:ilvl="0">
      <w:start w:val="1"/>
      <w:numFmt w:val="decimal"/>
      <w:lvlText w:val="[%1]"/>
      <w:lvlJc w:val="left"/>
      <w:pPr>
        <w:tabs>
          <w:tab w:val="num" w:pos="360"/>
        </w:tabs>
        <w:ind w:left="360" w:hanging="360"/>
      </w:pPr>
    </w:lvl>
  </w:abstractNum>
  <w:abstractNum w:abstractNumId="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6AE31E7"/>
    <w:multiLevelType w:val="hybridMultilevel"/>
    <w:tmpl w:val="52B6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9908C4"/>
    <w:multiLevelType w:val="hybridMultilevel"/>
    <w:tmpl w:val="D63E8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994545E"/>
    <w:multiLevelType w:val="hybridMultilevel"/>
    <w:tmpl w:val="A3CEC298"/>
    <w:lvl w:ilvl="0" w:tplc="FA1CC0D0">
      <w:start w:val="1"/>
      <w:numFmt w:val="bullet"/>
      <w:lvlText w:val="•"/>
      <w:lvlJc w:val="left"/>
      <w:pPr>
        <w:tabs>
          <w:tab w:val="num" w:pos="720"/>
        </w:tabs>
        <w:ind w:left="720" w:hanging="360"/>
      </w:pPr>
      <w:rPr>
        <w:rFonts w:ascii="Arial" w:hAnsi="Arial" w:hint="default"/>
      </w:rPr>
    </w:lvl>
    <w:lvl w:ilvl="1" w:tplc="60DA13DE">
      <w:start w:val="593"/>
      <w:numFmt w:val="bullet"/>
      <w:lvlText w:val="•"/>
      <w:lvlJc w:val="left"/>
      <w:pPr>
        <w:tabs>
          <w:tab w:val="num" w:pos="1440"/>
        </w:tabs>
        <w:ind w:left="1440" w:hanging="360"/>
      </w:pPr>
      <w:rPr>
        <w:rFonts w:ascii="Arial" w:hAnsi="Arial" w:hint="default"/>
      </w:rPr>
    </w:lvl>
    <w:lvl w:ilvl="2" w:tplc="9404D1E2" w:tentative="1">
      <w:start w:val="1"/>
      <w:numFmt w:val="bullet"/>
      <w:lvlText w:val="•"/>
      <w:lvlJc w:val="left"/>
      <w:pPr>
        <w:tabs>
          <w:tab w:val="num" w:pos="2160"/>
        </w:tabs>
        <w:ind w:left="2160" w:hanging="360"/>
      </w:pPr>
      <w:rPr>
        <w:rFonts w:ascii="Arial" w:hAnsi="Arial" w:hint="default"/>
      </w:rPr>
    </w:lvl>
    <w:lvl w:ilvl="3" w:tplc="804EAA8E" w:tentative="1">
      <w:start w:val="1"/>
      <w:numFmt w:val="bullet"/>
      <w:lvlText w:val="•"/>
      <w:lvlJc w:val="left"/>
      <w:pPr>
        <w:tabs>
          <w:tab w:val="num" w:pos="2880"/>
        </w:tabs>
        <w:ind w:left="2880" w:hanging="360"/>
      </w:pPr>
      <w:rPr>
        <w:rFonts w:ascii="Arial" w:hAnsi="Arial" w:hint="default"/>
      </w:rPr>
    </w:lvl>
    <w:lvl w:ilvl="4" w:tplc="950C529A" w:tentative="1">
      <w:start w:val="1"/>
      <w:numFmt w:val="bullet"/>
      <w:lvlText w:val="•"/>
      <w:lvlJc w:val="left"/>
      <w:pPr>
        <w:tabs>
          <w:tab w:val="num" w:pos="3600"/>
        </w:tabs>
        <w:ind w:left="3600" w:hanging="360"/>
      </w:pPr>
      <w:rPr>
        <w:rFonts w:ascii="Arial" w:hAnsi="Arial" w:hint="default"/>
      </w:rPr>
    </w:lvl>
    <w:lvl w:ilvl="5" w:tplc="2D2C7518" w:tentative="1">
      <w:start w:val="1"/>
      <w:numFmt w:val="bullet"/>
      <w:lvlText w:val="•"/>
      <w:lvlJc w:val="left"/>
      <w:pPr>
        <w:tabs>
          <w:tab w:val="num" w:pos="4320"/>
        </w:tabs>
        <w:ind w:left="4320" w:hanging="360"/>
      </w:pPr>
      <w:rPr>
        <w:rFonts w:ascii="Arial" w:hAnsi="Arial" w:hint="default"/>
      </w:rPr>
    </w:lvl>
    <w:lvl w:ilvl="6" w:tplc="8DBAC430" w:tentative="1">
      <w:start w:val="1"/>
      <w:numFmt w:val="bullet"/>
      <w:lvlText w:val="•"/>
      <w:lvlJc w:val="left"/>
      <w:pPr>
        <w:tabs>
          <w:tab w:val="num" w:pos="5040"/>
        </w:tabs>
        <w:ind w:left="5040" w:hanging="360"/>
      </w:pPr>
      <w:rPr>
        <w:rFonts w:ascii="Arial" w:hAnsi="Arial" w:hint="default"/>
      </w:rPr>
    </w:lvl>
    <w:lvl w:ilvl="7" w:tplc="1C9A95BA" w:tentative="1">
      <w:start w:val="1"/>
      <w:numFmt w:val="bullet"/>
      <w:lvlText w:val="•"/>
      <w:lvlJc w:val="left"/>
      <w:pPr>
        <w:tabs>
          <w:tab w:val="num" w:pos="5760"/>
        </w:tabs>
        <w:ind w:left="5760" w:hanging="360"/>
      </w:pPr>
      <w:rPr>
        <w:rFonts w:ascii="Arial" w:hAnsi="Arial" w:hint="default"/>
      </w:rPr>
    </w:lvl>
    <w:lvl w:ilvl="8" w:tplc="6CF21E0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1"/>
  </w:num>
  <w:num w:numId="4">
    <w:abstractNumId w:val="1"/>
  </w:num>
  <w:num w:numId="5">
    <w:abstractNumId w:val="4"/>
  </w:num>
  <w:num w:numId="6">
    <w:abstractNumId w:val="8"/>
  </w:num>
  <w:num w:numId="7">
    <w:abstractNumId w:val="14"/>
  </w:num>
  <w:num w:numId="8">
    <w:abstractNumId w:val="5"/>
  </w:num>
  <w:num w:numId="9">
    <w:abstractNumId w:val="7"/>
  </w:num>
  <w:num w:numId="10">
    <w:abstractNumId w:val="6"/>
  </w:num>
  <w:num w:numId="11">
    <w:abstractNumId w:val="11"/>
  </w:num>
  <w:num w:numId="12">
    <w:abstractNumId w:val="10"/>
  </w:num>
  <w:num w:numId="13">
    <w:abstractNumId w:val="15"/>
  </w:num>
  <w:num w:numId="14">
    <w:abstractNumId w:val="9"/>
  </w:num>
  <w:num w:numId="15">
    <w:abstractNumId w:val="12"/>
  </w:num>
  <w:num w:numId="16">
    <w:abstractNumId w:val="2"/>
  </w:num>
  <w:num w:numId="1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5C0F"/>
    <w:rsid w:val="000075E4"/>
    <w:rsid w:val="0001002B"/>
    <w:rsid w:val="00010AEE"/>
    <w:rsid w:val="00013F4F"/>
    <w:rsid w:val="00014DAE"/>
    <w:rsid w:val="00017366"/>
    <w:rsid w:val="000237B9"/>
    <w:rsid w:val="00024429"/>
    <w:rsid w:val="0002572A"/>
    <w:rsid w:val="00027311"/>
    <w:rsid w:val="00027D60"/>
    <w:rsid w:val="00031103"/>
    <w:rsid w:val="00035879"/>
    <w:rsid w:val="00036AAB"/>
    <w:rsid w:val="00042044"/>
    <w:rsid w:val="00042761"/>
    <w:rsid w:val="00042A4F"/>
    <w:rsid w:val="0004621B"/>
    <w:rsid w:val="0005061C"/>
    <w:rsid w:val="0005126B"/>
    <w:rsid w:val="000529B3"/>
    <w:rsid w:val="00052A90"/>
    <w:rsid w:val="000530D9"/>
    <w:rsid w:val="0005365D"/>
    <w:rsid w:val="0005434F"/>
    <w:rsid w:val="00055864"/>
    <w:rsid w:val="00055E6D"/>
    <w:rsid w:val="00055FB3"/>
    <w:rsid w:val="00057B28"/>
    <w:rsid w:val="00060362"/>
    <w:rsid w:val="00060CD9"/>
    <w:rsid w:val="00061919"/>
    <w:rsid w:val="00061B41"/>
    <w:rsid w:val="0006596D"/>
    <w:rsid w:val="000668DB"/>
    <w:rsid w:val="00067182"/>
    <w:rsid w:val="0007045A"/>
    <w:rsid w:val="000721FC"/>
    <w:rsid w:val="00072382"/>
    <w:rsid w:val="00073A24"/>
    <w:rsid w:val="00074D6C"/>
    <w:rsid w:val="000803A9"/>
    <w:rsid w:val="00080800"/>
    <w:rsid w:val="00081CA2"/>
    <w:rsid w:val="000857F2"/>
    <w:rsid w:val="00087350"/>
    <w:rsid w:val="0008796B"/>
    <w:rsid w:val="00091A7F"/>
    <w:rsid w:val="00093C23"/>
    <w:rsid w:val="00093FC2"/>
    <w:rsid w:val="00096C16"/>
    <w:rsid w:val="00097F75"/>
    <w:rsid w:val="000A105F"/>
    <w:rsid w:val="000A207F"/>
    <w:rsid w:val="000A29C6"/>
    <w:rsid w:val="000A33B5"/>
    <w:rsid w:val="000A4FF9"/>
    <w:rsid w:val="000A51A1"/>
    <w:rsid w:val="000A6510"/>
    <w:rsid w:val="000B1A6A"/>
    <w:rsid w:val="000B2C9C"/>
    <w:rsid w:val="000B31DD"/>
    <w:rsid w:val="000B3334"/>
    <w:rsid w:val="000B462B"/>
    <w:rsid w:val="000B484A"/>
    <w:rsid w:val="000B4C2A"/>
    <w:rsid w:val="000B53C1"/>
    <w:rsid w:val="000B5B8E"/>
    <w:rsid w:val="000C0BE5"/>
    <w:rsid w:val="000C18F3"/>
    <w:rsid w:val="000C2715"/>
    <w:rsid w:val="000C3C4D"/>
    <w:rsid w:val="000C583D"/>
    <w:rsid w:val="000C7570"/>
    <w:rsid w:val="000C7F06"/>
    <w:rsid w:val="000D00D7"/>
    <w:rsid w:val="000D036A"/>
    <w:rsid w:val="000D451A"/>
    <w:rsid w:val="000D4529"/>
    <w:rsid w:val="000D4A89"/>
    <w:rsid w:val="000D4E16"/>
    <w:rsid w:val="000E0248"/>
    <w:rsid w:val="000E114A"/>
    <w:rsid w:val="000E2D68"/>
    <w:rsid w:val="000E2DED"/>
    <w:rsid w:val="000E34C8"/>
    <w:rsid w:val="000E3586"/>
    <w:rsid w:val="000E4E27"/>
    <w:rsid w:val="000E63C3"/>
    <w:rsid w:val="000E71AB"/>
    <w:rsid w:val="000E7C9C"/>
    <w:rsid w:val="000E7F68"/>
    <w:rsid w:val="000F0839"/>
    <w:rsid w:val="000F0BFD"/>
    <w:rsid w:val="000F13BB"/>
    <w:rsid w:val="000F1847"/>
    <w:rsid w:val="000F20AD"/>
    <w:rsid w:val="000F22DE"/>
    <w:rsid w:val="000F2D08"/>
    <w:rsid w:val="000F2F61"/>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4263"/>
    <w:rsid w:val="00111437"/>
    <w:rsid w:val="00111F79"/>
    <w:rsid w:val="00114738"/>
    <w:rsid w:val="00114D8B"/>
    <w:rsid w:val="0011502D"/>
    <w:rsid w:val="0011558F"/>
    <w:rsid w:val="001178F2"/>
    <w:rsid w:val="00120041"/>
    <w:rsid w:val="001203AA"/>
    <w:rsid w:val="00125368"/>
    <w:rsid w:val="001254C4"/>
    <w:rsid w:val="00126EAB"/>
    <w:rsid w:val="00127535"/>
    <w:rsid w:val="00130ED8"/>
    <w:rsid w:val="001311CC"/>
    <w:rsid w:val="0013241F"/>
    <w:rsid w:val="00132BF6"/>
    <w:rsid w:val="001354B2"/>
    <w:rsid w:val="00135EB8"/>
    <w:rsid w:val="00140C24"/>
    <w:rsid w:val="001421A8"/>
    <w:rsid w:val="00142231"/>
    <w:rsid w:val="00142630"/>
    <w:rsid w:val="00142768"/>
    <w:rsid w:val="0014605C"/>
    <w:rsid w:val="00146EC4"/>
    <w:rsid w:val="00147E0D"/>
    <w:rsid w:val="00151C32"/>
    <w:rsid w:val="00152595"/>
    <w:rsid w:val="001547A1"/>
    <w:rsid w:val="0015500D"/>
    <w:rsid w:val="00155B7A"/>
    <w:rsid w:val="001562B9"/>
    <w:rsid w:val="00157573"/>
    <w:rsid w:val="00157601"/>
    <w:rsid w:val="0015771F"/>
    <w:rsid w:val="0016019B"/>
    <w:rsid w:val="00160AA0"/>
    <w:rsid w:val="00161281"/>
    <w:rsid w:val="00161EB7"/>
    <w:rsid w:val="001636B7"/>
    <w:rsid w:val="00166DF7"/>
    <w:rsid w:val="00167432"/>
    <w:rsid w:val="00170486"/>
    <w:rsid w:val="0017094F"/>
    <w:rsid w:val="00172587"/>
    <w:rsid w:val="00172588"/>
    <w:rsid w:val="001726EA"/>
    <w:rsid w:val="0017281E"/>
    <w:rsid w:val="001738F4"/>
    <w:rsid w:val="00174542"/>
    <w:rsid w:val="00174768"/>
    <w:rsid w:val="00177929"/>
    <w:rsid w:val="0018252D"/>
    <w:rsid w:val="0018259F"/>
    <w:rsid w:val="00182960"/>
    <w:rsid w:val="001839DA"/>
    <w:rsid w:val="00183F42"/>
    <w:rsid w:val="00184118"/>
    <w:rsid w:val="00184232"/>
    <w:rsid w:val="00184BE0"/>
    <w:rsid w:val="001852C0"/>
    <w:rsid w:val="00185B5F"/>
    <w:rsid w:val="00186D84"/>
    <w:rsid w:val="0018745C"/>
    <w:rsid w:val="00190C7B"/>
    <w:rsid w:val="00191B11"/>
    <w:rsid w:val="00194A90"/>
    <w:rsid w:val="00197701"/>
    <w:rsid w:val="001A0E97"/>
    <w:rsid w:val="001A3ADC"/>
    <w:rsid w:val="001A7B67"/>
    <w:rsid w:val="001B07BC"/>
    <w:rsid w:val="001B16EC"/>
    <w:rsid w:val="001B3005"/>
    <w:rsid w:val="001B32BE"/>
    <w:rsid w:val="001B5230"/>
    <w:rsid w:val="001B58B6"/>
    <w:rsid w:val="001C004F"/>
    <w:rsid w:val="001C1F12"/>
    <w:rsid w:val="001C34B5"/>
    <w:rsid w:val="001C6000"/>
    <w:rsid w:val="001C68B2"/>
    <w:rsid w:val="001C7D09"/>
    <w:rsid w:val="001D06AC"/>
    <w:rsid w:val="001D07A5"/>
    <w:rsid w:val="001D0FC8"/>
    <w:rsid w:val="001D2F18"/>
    <w:rsid w:val="001D35C5"/>
    <w:rsid w:val="001D5CD9"/>
    <w:rsid w:val="001D6714"/>
    <w:rsid w:val="001E0970"/>
    <w:rsid w:val="001E1C9C"/>
    <w:rsid w:val="001E213E"/>
    <w:rsid w:val="001E272E"/>
    <w:rsid w:val="001E582A"/>
    <w:rsid w:val="001E71E2"/>
    <w:rsid w:val="001E7AF7"/>
    <w:rsid w:val="001E7F0E"/>
    <w:rsid w:val="001F0A4A"/>
    <w:rsid w:val="001F0B79"/>
    <w:rsid w:val="001F0CE9"/>
    <w:rsid w:val="001F3714"/>
    <w:rsid w:val="001F39B2"/>
    <w:rsid w:val="001F3F4B"/>
    <w:rsid w:val="001F4253"/>
    <w:rsid w:val="001F454A"/>
    <w:rsid w:val="001F5990"/>
    <w:rsid w:val="001F651E"/>
    <w:rsid w:val="001F6DF3"/>
    <w:rsid w:val="001F6E69"/>
    <w:rsid w:val="001F7623"/>
    <w:rsid w:val="002025E0"/>
    <w:rsid w:val="0020329A"/>
    <w:rsid w:val="0020459E"/>
    <w:rsid w:val="002063BA"/>
    <w:rsid w:val="00206BFE"/>
    <w:rsid w:val="002116AB"/>
    <w:rsid w:val="0021523D"/>
    <w:rsid w:val="002177DE"/>
    <w:rsid w:val="002204EA"/>
    <w:rsid w:val="0022072E"/>
    <w:rsid w:val="00220E5C"/>
    <w:rsid w:val="00223950"/>
    <w:rsid w:val="00224545"/>
    <w:rsid w:val="00224F96"/>
    <w:rsid w:val="00225036"/>
    <w:rsid w:val="00225A4C"/>
    <w:rsid w:val="00226321"/>
    <w:rsid w:val="00230E69"/>
    <w:rsid w:val="00232CFF"/>
    <w:rsid w:val="00234070"/>
    <w:rsid w:val="00234B6E"/>
    <w:rsid w:val="002351BF"/>
    <w:rsid w:val="00235772"/>
    <w:rsid w:val="00235B22"/>
    <w:rsid w:val="00235E4A"/>
    <w:rsid w:val="00236C13"/>
    <w:rsid w:val="0023778C"/>
    <w:rsid w:val="00237F4E"/>
    <w:rsid w:val="00244E12"/>
    <w:rsid w:val="0024698E"/>
    <w:rsid w:val="00247898"/>
    <w:rsid w:val="002531AA"/>
    <w:rsid w:val="002533A6"/>
    <w:rsid w:val="00253C39"/>
    <w:rsid w:val="00255DB5"/>
    <w:rsid w:val="00255DFB"/>
    <w:rsid w:val="00255FDD"/>
    <w:rsid w:val="00257498"/>
    <w:rsid w:val="002624F5"/>
    <w:rsid w:val="00263976"/>
    <w:rsid w:val="002639D7"/>
    <w:rsid w:val="00263ED3"/>
    <w:rsid w:val="00264921"/>
    <w:rsid w:val="00264BC8"/>
    <w:rsid w:val="00265439"/>
    <w:rsid w:val="00270264"/>
    <w:rsid w:val="0027285A"/>
    <w:rsid w:val="00272C9C"/>
    <w:rsid w:val="00273DC9"/>
    <w:rsid w:val="002818AC"/>
    <w:rsid w:val="00281BFA"/>
    <w:rsid w:val="00285772"/>
    <w:rsid w:val="002860F4"/>
    <w:rsid w:val="00287364"/>
    <w:rsid w:val="00287516"/>
    <w:rsid w:val="00287D33"/>
    <w:rsid w:val="00291AA4"/>
    <w:rsid w:val="00292A88"/>
    <w:rsid w:val="0029480F"/>
    <w:rsid w:val="002951FC"/>
    <w:rsid w:val="002A1CBA"/>
    <w:rsid w:val="002A4A3B"/>
    <w:rsid w:val="002A5A3A"/>
    <w:rsid w:val="002A5DC6"/>
    <w:rsid w:val="002A6373"/>
    <w:rsid w:val="002B07C7"/>
    <w:rsid w:val="002B1095"/>
    <w:rsid w:val="002B11BE"/>
    <w:rsid w:val="002B2C10"/>
    <w:rsid w:val="002B368A"/>
    <w:rsid w:val="002B3AE8"/>
    <w:rsid w:val="002B44D8"/>
    <w:rsid w:val="002B4986"/>
    <w:rsid w:val="002B5026"/>
    <w:rsid w:val="002B56F8"/>
    <w:rsid w:val="002B783E"/>
    <w:rsid w:val="002C1E40"/>
    <w:rsid w:val="002C3811"/>
    <w:rsid w:val="002C39D5"/>
    <w:rsid w:val="002C6DB8"/>
    <w:rsid w:val="002D14F3"/>
    <w:rsid w:val="002D3252"/>
    <w:rsid w:val="002D43CF"/>
    <w:rsid w:val="002D4EAD"/>
    <w:rsid w:val="002D5B4C"/>
    <w:rsid w:val="002E04A3"/>
    <w:rsid w:val="002E499D"/>
    <w:rsid w:val="002F3FAE"/>
    <w:rsid w:val="002F4CA7"/>
    <w:rsid w:val="002F6BC2"/>
    <w:rsid w:val="002F756D"/>
    <w:rsid w:val="003000EB"/>
    <w:rsid w:val="003013DF"/>
    <w:rsid w:val="0030654E"/>
    <w:rsid w:val="0031167A"/>
    <w:rsid w:val="00312CFF"/>
    <w:rsid w:val="0031334F"/>
    <w:rsid w:val="003140E8"/>
    <w:rsid w:val="00314278"/>
    <w:rsid w:val="003150B0"/>
    <w:rsid w:val="00320D05"/>
    <w:rsid w:val="003211C9"/>
    <w:rsid w:val="00321B25"/>
    <w:rsid w:val="00322939"/>
    <w:rsid w:val="00322C8D"/>
    <w:rsid w:val="003230B3"/>
    <w:rsid w:val="00323F7A"/>
    <w:rsid w:val="003241CB"/>
    <w:rsid w:val="00324758"/>
    <w:rsid w:val="00327656"/>
    <w:rsid w:val="00327A9B"/>
    <w:rsid w:val="003305C3"/>
    <w:rsid w:val="00332A8C"/>
    <w:rsid w:val="00332C78"/>
    <w:rsid w:val="003346C1"/>
    <w:rsid w:val="00335026"/>
    <w:rsid w:val="003379B0"/>
    <w:rsid w:val="00340E5F"/>
    <w:rsid w:val="0034618D"/>
    <w:rsid w:val="0034674D"/>
    <w:rsid w:val="00347E2E"/>
    <w:rsid w:val="00351F34"/>
    <w:rsid w:val="00352334"/>
    <w:rsid w:val="003526DC"/>
    <w:rsid w:val="0035309F"/>
    <w:rsid w:val="00353DCF"/>
    <w:rsid w:val="00355478"/>
    <w:rsid w:val="003558AF"/>
    <w:rsid w:val="00355DC7"/>
    <w:rsid w:val="003578EB"/>
    <w:rsid w:val="00357C52"/>
    <w:rsid w:val="0036159C"/>
    <w:rsid w:val="003625B9"/>
    <w:rsid w:val="00362B1B"/>
    <w:rsid w:val="00363049"/>
    <w:rsid w:val="003664C3"/>
    <w:rsid w:val="00366F31"/>
    <w:rsid w:val="00367A0D"/>
    <w:rsid w:val="003706ED"/>
    <w:rsid w:val="00371E8A"/>
    <w:rsid w:val="00371EAE"/>
    <w:rsid w:val="0037332C"/>
    <w:rsid w:val="00374BE6"/>
    <w:rsid w:val="0038104D"/>
    <w:rsid w:val="003810E8"/>
    <w:rsid w:val="00382067"/>
    <w:rsid w:val="00383CE6"/>
    <w:rsid w:val="00384695"/>
    <w:rsid w:val="0038496E"/>
    <w:rsid w:val="00384D96"/>
    <w:rsid w:val="003858E4"/>
    <w:rsid w:val="00385AAD"/>
    <w:rsid w:val="003876CE"/>
    <w:rsid w:val="00390692"/>
    <w:rsid w:val="0039083F"/>
    <w:rsid w:val="00397304"/>
    <w:rsid w:val="003A04AE"/>
    <w:rsid w:val="003A0C22"/>
    <w:rsid w:val="003A0C84"/>
    <w:rsid w:val="003A35CF"/>
    <w:rsid w:val="003A6896"/>
    <w:rsid w:val="003A6A2E"/>
    <w:rsid w:val="003A7CE5"/>
    <w:rsid w:val="003B00A3"/>
    <w:rsid w:val="003B1438"/>
    <w:rsid w:val="003B153D"/>
    <w:rsid w:val="003B2869"/>
    <w:rsid w:val="003B2F31"/>
    <w:rsid w:val="003B2F84"/>
    <w:rsid w:val="003B3145"/>
    <w:rsid w:val="003B5666"/>
    <w:rsid w:val="003B7801"/>
    <w:rsid w:val="003C3120"/>
    <w:rsid w:val="003C456B"/>
    <w:rsid w:val="003C4C8D"/>
    <w:rsid w:val="003C72EE"/>
    <w:rsid w:val="003C7E0D"/>
    <w:rsid w:val="003D15A1"/>
    <w:rsid w:val="003D273D"/>
    <w:rsid w:val="003D3EEA"/>
    <w:rsid w:val="003D7DDF"/>
    <w:rsid w:val="003E093D"/>
    <w:rsid w:val="003E1145"/>
    <w:rsid w:val="003E1657"/>
    <w:rsid w:val="003E2B02"/>
    <w:rsid w:val="003E3C3F"/>
    <w:rsid w:val="003E4112"/>
    <w:rsid w:val="003E4944"/>
    <w:rsid w:val="003E54AE"/>
    <w:rsid w:val="003E6309"/>
    <w:rsid w:val="003E6879"/>
    <w:rsid w:val="003E70DE"/>
    <w:rsid w:val="003E7A09"/>
    <w:rsid w:val="003F1E4A"/>
    <w:rsid w:val="003F20EB"/>
    <w:rsid w:val="003F253D"/>
    <w:rsid w:val="003F2D08"/>
    <w:rsid w:val="003F2DD5"/>
    <w:rsid w:val="003F3ACB"/>
    <w:rsid w:val="003F411D"/>
    <w:rsid w:val="003F430C"/>
    <w:rsid w:val="003F5102"/>
    <w:rsid w:val="003F614C"/>
    <w:rsid w:val="003F6C3A"/>
    <w:rsid w:val="003F7140"/>
    <w:rsid w:val="003F7E57"/>
    <w:rsid w:val="00400026"/>
    <w:rsid w:val="004024A4"/>
    <w:rsid w:val="0040262E"/>
    <w:rsid w:val="0040291E"/>
    <w:rsid w:val="004035A7"/>
    <w:rsid w:val="00405F52"/>
    <w:rsid w:val="004077BE"/>
    <w:rsid w:val="00407D0E"/>
    <w:rsid w:val="00407DA3"/>
    <w:rsid w:val="00407EEB"/>
    <w:rsid w:val="004106AB"/>
    <w:rsid w:val="00411778"/>
    <w:rsid w:val="00414004"/>
    <w:rsid w:val="00414321"/>
    <w:rsid w:val="00414D8B"/>
    <w:rsid w:val="00414F7A"/>
    <w:rsid w:val="00414F92"/>
    <w:rsid w:val="00420193"/>
    <w:rsid w:val="0042059A"/>
    <w:rsid w:val="00420701"/>
    <w:rsid w:val="00420745"/>
    <w:rsid w:val="00421F27"/>
    <w:rsid w:val="00422D08"/>
    <w:rsid w:val="00425B94"/>
    <w:rsid w:val="00427DC8"/>
    <w:rsid w:val="00434528"/>
    <w:rsid w:val="004373A6"/>
    <w:rsid w:val="004375FE"/>
    <w:rsid w:val="00437704"/>
    <w:rsid w:val="00440089"/>
    <w:rsid w:val="00440F45"/>
    <w:rsid w:val="004414AC"/>
    <w:rsid w:val="00441B76"/>
    <w:rsid w:val="00443BBF"/>
    <w:rsid w:val="00447F5B"/>
    <w:rsid w:val="0045072F"/>
    <w:rsid w:val="00450C58"/>
    <w:rsid w:val="004522B2"/>
    <w:rsid w:val="00453445"/>
    <w:rsid w:val="004559A1"/>
    <w:rsid w:val="00456CBD"/>
    <w:rsid w:val="00456F20"/>
    <w:rsid w:val="0045766E"/>
    <w:rsid w:val="004576AA"/>
    <w:rsid w:val="00457BBD"/>
    <w:rsid w:val="00457C55"/>
    <w:rsid w:val="00461015"/>
    <w:rsid w:val="00461F41"/>
    <w:rsid w:val="00462325"/>
    <w:rsid w:val="004626F7"/>
    <w:rsid w:val="00462753"/>
    <w:rsid w:val="00464786"/>
    <w:rsid w:val="00464A7E"/>
    <w:rsid w:val="00465078"/>
    <w:rsid w:val="0046507A"/>
    <w:rsid w:val="00466096"/>
    <w:rsid w:val="00472397"/>
    <w:rsid w:val="0047268E"/>
    <w:rsid w:val="004731EA"/>
    <w:rsid w:val="004743C0"/>
    <w:rsid w:val="004745C5"/>
    <w:rsid w:val="00474666"/>
    <w:rsid w:val="00476D85"/>
    <w:rsid w:val="004779A9"/>
    <w:rsid w:val="0048083A"/>
    <w:rsid w:val="004857BA"/>
    <w:rsid w:val="00486F40"/>
    <w:rsid w:val="00490EB5"/>
    <w:rsid w:val="00491B56"/>
    <w:rsid w:val="004A0B27"/>
    <w:rsid w:val="004A0C80"/>
    <w:rsid w:val="004A0D5B"/>
    <w:rsid w:val="004A2D23"/>
    <w:rsid w:val="004A305F"/>
    <w:rsid w:val="004A37FB"/>
    <w:rsid w:val="004A3957"/>
    <w:rsid w:val="004A51E8"/>
    <w:rsid w:val="004A608F"/>
    <w:rsid w:val="004A7311"/>
    <w:rsid w:val="004A74BA"/>
    <w:rsid w:val="004B067D"/>
    <w:rsid w:val="004B131E"/>
    <w:rsid w:val="004B4AC8"/>
    <w:rsid w:val="004C1326"/>
    <w:rsid w:val="004C1417"/>
    <w:rsid w:val="004C18ED"/>
    <w:rsid w:val="004C4A6D"/>
    <w:rsid w:val="004C4BDC"/>
    <w:rsid w:val="004C519C"/>
    <w:rsid w:val="004C51B7"/>
    <w:rsid w:val="004D21D7"/>
    <w:rsid w:val="004D4135"/>
    <w:rsid w:val="004D7226"/>
    <w:rsid w:val="004E181A"/>
    <w:rsid w:val="004E2FC3"/>
    <w:rsid w:val="004E33AA"/>
    <w:rsid w:val="004E3C80"/>
    <w:rsid w:val="004E72A1"/>
    <w:rsid w:val="004F118D"/>
    <w:rsid w:val="004F3C24"/>
    <w:rsid w:val="004F434A"/>
    <w:rsid w:val="004F4C94"/>
    <w:rsid w:val="004F5E5F"/>
    <w:rsid w:val="004F756F"/>
    <w:rsid w:val="005001A3"/>
    <w:rsid w:val="005007BF"/>
    <w:rsid w:val="005029B2"/>
    <w:rsid w:val="005036DA"/>
    <w:rsid w:val="00503BE3"/>
    <w:rsid w:val="005052C9"/>
    <w:rsid w:val="00505420"/>
    <w:rsid w:val="00506961"/>
    <w:rsid w:val="00511F61"/>
    <w:rsid w:val="0051496C"/>
    <w:rsid w:val="00514B79"/>
    <w:rsid w:val="00516EB5"/>
    <w:rsid w:val="005175E0"/>
    <w:rsid w:val="00520546"/>
    <w:rsid w:val="00520743"/>
    <w:rsid w:val="00520FEA"/>
    <w:rsid w:val="00521C79"/>
    <w:rsid w:val="00522479"/>
    <w:rsid w:val="00522658"/>
    <w:rsid w:val="00523338"/>
    <w:rsid w:val="0052438A"/>
    <w:rsid w:val="00525201"/>
    <w:rsid w:val="005256AF"/>
    <w:rsid w:val="005260AD"/>
    <w:rsid w:val="00526E67"/>
    <w:rsid w:val="00530CE6"/>
    <w:rsid w:val="00531E00"/>
    <w:rsid w:val="00532C41"/>
    <w:rsid w:val="00533201"/>
    <w:rsid w:val="00534B00"/>
    <w:rsid w:val="005374AC"/>
    <w:rsid w:val="0053773A"/>
    <w:rsid w:val="005377F6"/>
    <w:rsid w:val="0054190F"/>
    <w:rsid w:val="00541C4C"/>
    <w:rsid w:val="00543232"/>
    <w:rsid w:val="00543F98"/>
    <w:rsid w:val="0054763B"/>
    <w:rsid w:val="00551F8F"/>
    <w:rsid w:val="00552309"/>
    <w:rsid w:val="0055496A"/>
    <w:rsid w:val="00554EA5"/>
    <w:rsid w:val="00557491"/>
    <w:rsid w:val="0055777F"/>
    <w:rsid w:val="005579F6"/>
    <w:rsid w:val="00560250"/>
    <w:rsid w:val="0056106B"/>
    <w:rsid w:val="005613B5"/>
    <w:rsid w:val="00566C01"/>
    <w:rsid w:val="00567A42"/>
    <w:rsid w:val="00570767"/>
    <w:rsid w:val="005708A8"/>
    <w:rsid w:val="00573F6F"/>
    <w:rsid w:val="005753F0"/>
    <w:rsid w:val="00580B24"/>
    <w:rsid w:val="00581643"/>
    <w:rsid w:val="00582D4B"/>
    <w:rsid w:val="005849A7"/>
    <w:rsid w:val="00585266"/>
    <w:rsid w:val="005865BB"/>
    <w:rsid w:val="00586A0F"/>
    <w:rsid w:val="005902D9"/>
    <w:rsid w:val="00591229"/>
    <w:rsid w:val="005939CA"/>
    <w:rsid w:val="00594E36"/>
    <w:rsid w:val="00595EA5"/>
    <w:rsid w:val="005969F9"/>
    <w:rsid w:val="00596E2F"/>
    <w:rsid w:val="00596F14"/>
    <w:rsid w:val="00597F88"/>
    <w:rsid w:val="005A0A6F"/>
    <w:rsid w:val="005A28E5"/>
    <w:rsid w:val="005A4773"/>
    <w:rsid w:val="005A4EAA"/>
    <w:rsid w:val="005A532D"/>
    <w:rsid w:val="005A53DB"/>
    <w:rsid w:val="005A6E8F"/>
    <w:rsid w:val="005A7BD4"/>
    <w:rsid w:val="005B0BBC"/>
    <w:rsid w:val="005B0BF3"/>
    <w:rsid w:val="005B14FF"/>
    <w:rsid w:val="005B1CD7"/>
    <w:rsid w:val="005B289F"/>
    <w:rsid w:val="005B2DC1"/>
    <w:rsid w:val="005B3355"/>
    <w:rsid w:val="005B5DFA"/>
    <w:rsid w:val="005C0A7E"/>
    <w:rsid w:val="005C440F"/>
    <w:rsid w:val="005C52BF"/>
    <w:rsid w:val="005C641A"/>
    <w:rsid w:val="005D0472"/>
    <w:rsid w:val="005D0983"/>
    <w:rsid w:val="005D0F52"/>
    <w:rsid w:val="005D1708"/>
    <w:rsid w:val="005D1FCD"/>
    <w:rsid w:val="005D2708"/>
    <w:rsid w:val="005D2869"/>
    <w:rsid w:val="005D4ABB"/>
    <w:rsid w:val="005D4C96"/>
    <w:rsid w:val="005D4CAA"/>
    <w:rsid w:val="005D61B2"/>
    <w:rsid w:val="005D7A04"/>
    <w:rsid w:val="005D7D54"/>
    <w:rsid w:val="005E08FB"/>
    <w:rsid w:val="005E29AA"/>
    <w:rsid w:val="005E35B0"/>
    <w:rsid w:val="005E6B50"/>
    <w:rsid w:val="005E6F1D"/>
    <w:rsid w:val="005F03D4"/>
    <w:rsid w:val="005F2532"/>
    <w:rsid w:val="005F3967"/>
    <w:rsid w:val="005F3A8D"/>
    <w:rsid w:val="005F400D"/>
    <w:rsid w:val="005F5031"/>
    <w:rsid w:val="005F603E"/>
    <w:rsid w:val="005F62B1"/>
    <w:rsid w:val="0060058D"/>
    <w:rsid w:val="006005FD"/>
    <w:rsid w:val="00600FE0"/>
    <w:rsid w:val="00602457"/>
    <w:rsid w:val="0060264B"/>
    <w:rsid w:val="00602F6E"/>
    <w:rsid w:val="0060550A"/>
    <w:rsid w:val="0061342F"/>
    <w:rsid w:val="00613D7E"/>
    <w:rsid w:val="0061407C"/>
    <w:rsid w:val="006147C9"/>
    <w:rsid w:val="00615A64"/>
    <w:rsid w:val="00615AE4"/>
    <w:rsid w:val="006170D2"/>
    <w:rsid w:val="0062197D"/>
    <w:rsid w:val="00621A6E"/>
    <w:rsid w:val="00622075"/>
    <w:rsid w:val="00623176"/>
    <w:rsid w:val="006231CB"/>
    <w:rsid w:val="0062374F"/>
    <w:rsid w:val="00624196"/>
    <w:rsid w:val="00625078"/>
    <w:rsid w:val="0062509D"/>
    <w:rsid w:val="0062533B"/>
    <w:rsid w:val="00625EF2"/>
    <w:rsid w:val="00625F80"/>
    <w:rsid w:val="00627996"/>
    <w:rsid w:val="00631256"/>
    <w:rsid w:val="00631F2F"/>
    <w:rsid w:val="006326F1"/>
    <w:rsid w:val="0063438C"/>
    <w:rsid w:val="00637A2C"/>
    <w:rsid w:val="00637BFA"/>
    <w:rsid w:val="00637CDC"/>
    <w:rsid w:val="00642468"/>
    <w:rsid w:val="00642959"/>
    <w:rsid w:val="00645AAE"/>
    <w:rsid w:val="00645F42"/>
    <w:rsid w:val="00647610"/>
    <w:rsid w:val="00652482"/>
    <w:rsid w:val="00652686"/>
    <w:rsid w:val="0065320B"/>
    <w:rsid w:val="006537C9"/>
    <w:rsid w:val="006564F5"/>
    <w:rsid w:val="00656CEB"/>
    <w:rsid w:val="006572DB"/>
    <w:rsid w:val="00657589"/>
    <w:rsid w:val="00657B8A"/>
    <w:rsid w:val="00660027"/>
    <w:rsid w:val="00662906"/>
    <w:rsid w:val="006644C6"/>
    <w:rsid w:val="006646E2"/>
    <w:rsid w:val="00674442"/>
    <w:rsid w:val="00674ACF"/>
    <w:rsid w:val="00676297"/>
    <w:rsid w:val="0067637D"/>
    <w:rsid w:val="00683F57"/>
    <w:rsid w:val="006843DD"/>
    <w:rsid w:val="006863BF"/>
    <w:rsid w:val="006879C9"/>
    <w:rsid w:val="00687B18"/>
    <w:rsid w:val="0069139A"/>
    <w:rsid w:val="00691D59"/>
    <w:rsid w:val="00693300"/>
    <w:rsid w:val="00697064"/>
    <w:rsid w:val="0069744E"/>
    <w:rsid w:val="006A01D7"/>
    <w:rsid w:val="006A0D1F"/>
    <w:rsid w:val="006A0FC7"/>
    <w:rsid w:val="006A1CDE"/>
    <w:rsid w:val="006A1CF1"/>
    <w:rsid w:val="006A1F5B"/>
    <w:rsid w:val="006A2F4C"/>
    <w:rsid w:val="006A437D"/>
    <w:rsid w:val="006A6565"/>
    <w:rsid w:val="006A72D1"/>
    <w:rsid w:val="006B2525"/>
    <w:rsid w:val="006B3F63"/>
    <w:rsid w:val="006B4CD6"/>
    <w:rsid w:val="006B589F"/>
    <w:rsid w:val="006B5B75"/>
    <w:rsid w:val="006B5CA4"/>
    <w:rsid w:val="006B6916"/>
    <w:rsid w:val="006B7C09"/>
    <w:rsid w:val="006C03D6"/>
    <w:rsid w:val="006C0829"/>
    <w:rsid w:val="006C13C2"/>
    <w:rsid w:val="006C3505"/>
    <w:rsid w:val="006C4961"/>
    <w:rsid w:val="006C5DC3"/>
    <w:rsid w:val="006C66E6"/>
    <w:rsid w:val="006C67B9"/>
    <w:rsid w:val="006C7316"/>
    <w:rsid w:val="006D203B"/>
    <w:rsid w:val="006D2304"/>
    <w:rsid w:val="006D2A6D"/>
    <w:rsid w:val="006D2CBF"/>
    <w:rsid w:val="006D4FC7"/>
    <w:rsid w:val="006D64FA"/>
    <w:rsid w:val="006D6865"/>
    <w:rsid w:val="006D70FF"/>
    <w:rsid w:val="006D76CD"/>
    <w:rsid w:val="006E1680"/>
    <w:rsid w:val="006E1967"/>
    <w:rsid w:val="006E321C"/>
    <w:rsid w:val="006E4216"/>
    <w:rsid w:val="006F1C29"/>
    <w:rsid w:val="006F289B"/>
    <w:rsid w:val="006F2C3A"/>
    <w:rsid w:val="006F3289"/>
    <w:rsid w:val="006F384E"/>
    <w:rsid w:val="006F3D21"/>
    <w:rsid w:val="006F3DD4"/>
    <w:rsid w:val="006F4F4E"/>
    <w:rsid w:val="006F61BE"/>
    <w:rsid w:val="006F678D"/>
    <w:rsid w:val="006F6B2B"/>
    <w:rsid w:val="0070108F"/>
    <w:rsid w:val="007021B6"/>
    <w:rsid w:val="00702264"/>
    <w:rsid w:val="0070296D"/>
    <w:rsid w:val="007042AA"/>
    <w:rsid w:val="007058B7"/>
    <w:rsid w:val="00706DFC"/>
    <w:rsid w:val="007116FE"/>
    <w:rsid w:val="00712912"/>
    <w:rsid w:val="00713109"/>
    <w:rsid w:val="00713C99"/>
    <w:rsid w:val="00715EF6"/>
    <w:rsid w:val="0071670B"/>
    <w:rsid w:val="00721B29"/>
    <w:rsid w:val="00721E7C"/>
    <w:rsid w:val="00725EF5"/>
    <w:rsid w:val="00726BE5"/>
    <w:rsid w:val="007278A9"/>
    <w:rsid w:val="007345DF"/>
    <w:rsid w:val="0073488B"/>
    <w:rsid w:val="00736CC6"/>
    <w:rsid w:val="00736D17"/>
    <w:rsid w:val="00740405"/>
    <w:rsid w:val="00740EA2"/>
    <w:rsid w:val="00741459"/>
    <w:rsid w:val="00741A88"/>
    <w:rsid w:val="00741BB0"/>
    <w:rsid w:val="00743188"/>
    <w:rsid w:val="007433CD"/>
    <w:rsid w:val="00744C89"/>
    <w:rsid w:val="00744E0C"/>
    <w:rsid w:val="00744F6F"/>
    <w:rsid w:val="007452AE"/>
    <w:rsid w:val="00746FA1"/>
    <w:rsid w:val="00747349"/>
    <w:rsid w:val="007507C2"/>
    <w:rsid w:val="00750BBA"/>
    <w:rsid w:val="00750E35"/>
    <w:rsid w:val="00751616"/>
    <w:rsid w:val="00752E51"/>
    <w:rsid w:val="00754828"/>
    <w:rsid w:val="00755030"/>
    <w:rsid w:val="00755678"/>
    <w:rsid w:val="007559FE"/>
    <w:rsid w:val="0075613C"/>
    <w:rsid w:val="00757474"/>
    <w:rsid w:val="007616B8"/>
    <w:rsid w:val="00761706"/>
    <w:rsid w:val="007626D3"/>
    <w:rsid w:val="00763114"/>
    <w:rsid w:val="0076599A"/>
    <w:rsid w:val="00765FF7"/>
    <w:rsid w:val="00766775"/>
    <w:rsid w:val="00767578"/>
    <w:rsid w:val="00771E29"/>
    <w:rsid w:val="00774294"/>
    <w:rsid w:val="00774B87"/>
    <w:rsid w:val="00774EE4"/>
    <w:rsid w:val="00774FB0"/>
    <w:rsid w:val="00775B33"/>
    <w:rsid w:val="007844BE"/>
    <w:rsid w:val="0079102B"/>
    <w:rsid w:val="00792345"/>
    <w:rsid w:val="00794512"/>
    <w:rsid w:val="00794A0D"/>
    <w:rsid w:val="00794DF0"/>
    <w:rsid w:val="007A0156"/>
    <w:rsid w:val="007A1EDC"/>
    <w:rsid w:val="007A2B08"/>
    <w:rsid w:val="007A31EB"/>
    <w:rsid w:val="007A3826"/>
    <w:rsid w:val="007A4758"/>
    <w:rsid w:val="007A6FDA"/>
    <w:rsid w:val="007B079D"/>
    <w:rsid w:val="007B557C"/>
    <w:rsid w:val="007B7D73"/>
    <w:rsid w:val="007C0474"/>
    <w:rsid w:val="007C0818"/>
    <w:rsid w:val="007C1416"/>
    <w:rsid w:val="007C14E9"/>
    <w:rsid w:val="007C16DF"/>
    <w:rsid w:val="007C1DA9"/>
    <w:rsid w:val="007C4603"/>
    <w:rsid w:val="007C4D1A"/>
    <w:rsid w:val="007D01E5"/>
    <w:rsid w:val="007D09BB"/>
    <w:rsid w:val="007D0DD5"/>
    <w:rsid w:val="007D19C6"/>
    <w:rsid w:val="007D549A"/>
    <w:rsid w:val="007D649A"/>
    <w:rsid w:val="007D7C3E"/>
    <w:rsid w:val="007E027B"/>
    <w:rsid w:val="007E0E28"/>
    <w:rsid w:val="007E174F"/>
    <w:rsid w:val="007E18CE"/>
    <w:rsid w:val="007E1AAB"/>
    <w:rsid w:val="007E2208"/>
    <w:rsid w:val="007E23D9"/>
    <w:rsid w:val="007E4849"/>
    <w:rsid w:val="007E7D3F"/>
    <w:rsid w:val="007F162A"/>
    <w:rsid w:val="007F1C84"/>
    <w:rsid w:val="007F36C8"/>
    <w:rsid w:val="007F3A50"/>
    <w:rsid w:val="007F4772"/>
    <w:rsid w:val="007F63DD"/>
    <w:rsid w:val="007F7A85"/>
    <w:rsid w:val="00800105"/>
    <w:rsid w:val="00800251"/>
    <w:rsid w:val="0080210E"/>
    <w:rsid w:val="00802872"/>
    <w:rsid w:val="00803D62"/>
    <w:rsid w:val="00806C04"/>
    <w:rsid w:val="008100A9"/>
    <w:rsid w:val="00810D57"/>
    <w:rsid w:val="00811984"/>
    <w:rsid w:val="00812BF9"/>
    <w:rsid w:val="00813688"/>
    <w:rsid w:val="00813C8F"/>
    <w:rsid w:val="008142FD"/>
    <w:rsid w:val="00815712"/>
    <w:rsid w:val="00815A88"/>
    <w:rsid w:val="008164A1"/>
    <w:rsid w:val="00817219"/>
    <w:rsid w:val="00817A23"/>
    <w:rsid w:val="00817AA4"/>
    <w:rsid w:val="00820F8C"/>
    <w:rsid w:val="0082177D"/>
    <w:rsid w:val="0082358A"/>
    <w:rsid w:val="00824E69"/>
    <w:rsid w:val="00824FAD"/>
    <w:rsid w:val="0082509B"/>
    <w:rsid w:val="00832F1E"/>
    <w:rsid w:val="0083685F"/>
    <w:rsid w:val="00837339"/>
    <w:rsid w:val="0083744D"/>
    <w:rsid w:val="00841D94"/>
    <w:rsid w:val="00844A23"/>
    <w:rsid w:val="00845A36"/>
    <w:rsid w:val="00847AA7"/>
    <w:rsid w:val="008517E1"/>
    <w:rsid w:val="00851BCB"/>
    <w:rsid w:val="00855EEF"/>
    <w:rsid w:val="00857659"/>
    <w:rsid w:val="00860504"/>
    <w:rsid w:val="00862056"/>
    <w:rsid w:val="0086315C"/>
    <w:rsid w:val="008647B5"/>
    <w:rsid w:val="00864CBC"/>
    <w:rsid w:val="00865B3F"/>
    <w:rsid w:val="0086661F"/>
    <w:rsid w:val="0086694B"/>
    <w:rsid w:val="00867A19"/>
    <w:rsid w:val="00867D81"/>
    <w:rsid w:val="0087092A"/>
    <w:rsid w:val="0087150A"/>
    <w:rsid w:val="0087211E"/>
    <w:rsid w:val="008741BC"/>
    <w:rsid w:val="00874A56"/>
    <w:rsid w:val="00875CF8"/>
    <w:rsid w:val="008814B9"/>
    <w:rsid w:val="0088393A"/>
    <w:rsid w:val="00885946"/>
    <w:rsid w:val="00885C46"/>
    <w:rsid w:val="00890DA4"/>
    <w:rsid w:val="00892F8A"/>
    <w:rsid w:val="0089426E"/>
    <w:rsid w:val="008948D4"/>
    <w:rsid w:val="00895096"/>
    <w:rsid w:val="008955E2"/>
    <w:rsid w:val="00896EA4"/>
    <w:rsid w:val="00897546"/>
    <w:rsid w:val="008A002B"/>
    <w:rsid w:val="008A1FB3"/>
    <w:rsid w:val="008A255F"/>
    <w:rsid w:val="008A2B76"/>
    <w:rsid w:val="008A42AD"/>
    <w:rsid w:val="008A4D9B"/>
    <w:rsid w:val="008A52D3"/>
    <w:rsid w:val="008A54D6"/>
    <w:rsid w:val="008A65DF"/>
    <w:rsid w:val="008A7199"/>
    <w:rsid w:val="008A788A"/>
    <w:rsid w:val="008B2F7C"/>
    <w:rsid w:val="008B2FB4"/>
    <w:rsid w:val="008B51C1"/>
    <w:rsid w:val="008B535B"/>
    <w:rsid w:val="008B79A5"/>
    <w:rsid w:val="008C03B4"/>
    <w:rsid w:val="008C055E"/>
    <w:rsid w:val="008C1BF6"/>
    <w:rsid w:val="008C3D7F"/>
    <w:rsid w:val="008C3EDE"/>
    <w:rsid w:val="008C4C33"/>
    <w:rsid w:val="008C5353"/>
    <w:rsid w:val="008C7D9E"/>
    <w:rsid w:val="008D21C5"/>
    <w:rsid w:val="008D32F9"/>
    <w:rsid w:val="008D3CC2"/>
    <w:rsid w:val="008D3E27"/>
    <w:rsid w:val="008D586A"/>
    <w:rsid w:val="008D5AC1"/>
    <w:rsid w:val="008D6151"/>
    <w:rsid w:val="008D77EC"/>
    <w:rsid w:val="008D77F8"/>
    <w:rsid w:val="008E10A0"/>
    <w:rsid w:val="008E1BEB"/>
    <w:rsid w:val="008E1DE7"/>
    <w:rsid w:val="008E3D20"/>
    <w:rsid w:val="008E45C0"/>
    <w:rsid w:val="008E517D"/>
    <w:rsid w:val="008E6DF6"/>
    <w:rsid w:val="008E7E06"/>
    <w:rsid w:val="008F0C24"/>
    <w:rsid w:val="008F0DB6"/>
    <w:rsid w:val="008F132A"/>
    <w:rsid w:val="008F2129"/>
    <w:rsid w:val="008F2281"/>
    <w:rsid w:val="008F24FD"/>
    <w:rsid w:val="0090068E"/>
    <w:rsid w:val="00900A45"/>
    <w:rsid w:val="00900D2C"/>
    <w:rsid w:val="009030AC"/>
    <w:rsid w:val="009059FB"/>
    <w:rsid w:val="009060D6"/>
    <w:rsid w:val="00906F95"/>
    <w:rsid w:val="009104EE"/>
    <w:rsid w:val="00910677"/>
    <w:rsid w:val="0091129F"/>
    <w:rsid w:val="009113B9"/>
    <w:rsid w:val="00912103"/>
    <w:rsid w:val="00912C1C"/>
    <w:rsid w:val="009145C7"/>
    <w:rsid w:val="00916232"/>
    <w:rsid w:val="00916CDA"/>
    <w:rsid w:val="00917064"/>
    <w:rsid w:val="00917B0B"/>
    <w:rsid w:val="0092098B"/>
    <w:rsid w:val="00920C7B"/>
    <w:rsid w:val="0092177D"/>
    <w:rsid w:val="00921AB6"/>
    <w:rsid w:val="0092263C"/>
    <w:rsid w:val="00922FBB"/>
    <w:rsid w:val="009235D6"/>
    <w:rsid w:val="00926614"/>
    <w:rsid w:val="00927E8A"/>
    <w:rsid w:val="0093236F"/>
    <w:rsid w:val="0093242B"/>
    <w:rsid w:val="00932AEA"/>
    <w:rsid w:val="00932BC5"/>
    <w:rsid w:val="009351D5"/>
    <w:rsid w:val="00936015"/>
    <w:rsid w:val="009361F9"/>
    <w:rsid w:val="00936660"/>
    <w:rsid w:val="00937BF1"/>
    <w:rsid w:val="00937F0E"/>
    <w:rsid w:val="00941D3A"/>
    <w:rsid w:val="00942712"/>
    <w:rsid w:val="0094520F"/>
    <w:rsid w:val="00945A79"/>
    <w:rsid w:val="00950EF8"/>
    <w:rsid w:val="00951444"/>
    <w:rsid w:val="00952014"/>
    <w:rsid w:val="0095743E"/>
    <w:rsid w:val="009623A6"/>
    <w:rsid w:val="00963176"/>
    <w:rsid w:val="00963D1F"/>
    <w:rsid w:val="00964308"/>
    <w:rsid w:val="00964587"/>
    <w:rsid w:val="00964B1D"/>
    <w:rsid w:val="00965F1F"/>
    <w:rsid w:val="00966430"/>
    <w:rsid w:val="009700FD"/>
    <w:rsid w:val="00970975"/>
    <w:rsid w:val="009711E2"/>
    <w:rsid w:val="009734A6"/>
    <w:rsid w:val="009749A8"/>
    <w:rsid w:val="00976970"/>
    <w:rsid w:val="00976D4F"/>
    <w:rsid w:val="009779A0"/>
    <w:rsid w:val="0098034C"/>
    <w:rsid w:val="0098630E"/>
    <w:rsid w:val="00986A5E"/>
    <w:rsid w:val="00990218"/>
    <w:rsid w:val="00990549"/>
    <w:rsid w:val="009927B8"/>
    <w:rsid w:val="00993B07"/>
    <w:rsid w:val="00994C26"/>
    <w:rsid w:val="009968EE"/>
    <w:rsid w:val="00996B1C"/>
    <w:rsid w:val="009977AB"/>
    <w:rsid w:val="009A0482"/>
    <w:rsid w:val="009A06C4"/>
    <w:rsid w:val="009A33D8"/>
    <w:rsid w:val="009A34B1"/>
    <w:rsid w:val="009A353A"/>
    <w:rsid w:val="009A4878"/>
    <w:rsid w:val="009A59C4"/>
    <w:rsid w:val="009B0F58"/>
    <w:rsid w:val="009B24A2"/>
    <w:rsid w:val="009B3549"/>
    <w:rsid w:val="009B3C67"/>
    <w:rsid w:val="009B3CA7"/>
    <w:rsid w:val="009B41B2"/>
    <w:rsid w:val="009B5FBE"/>
    <w:rsid w:val="009B72B5"/>
    <w:rsid w:val="009B777D"/>
    <w:rsid w:val="009B7EF6"/>
    <w:rsid w:val="009C259F"/>
    <w:rsid w:val="009C32E6"/>
    <w:rsid w:val="009C3448"/>
    <w:rsid w:val="009C38EB"/>
    <w:rsid w:val="009C423A"/>
    <w:rsid w:val="009C4EC3"/>
    <w:rsid w:val="009C6D7D"/>
    <w:rsid w:val="009C7248"/>
    <w:rsid w:val="009D189D"/>
    <w:rsid w:val="009D79FE"/>
    <w:rsid w:val="009D7D8D"/>
    <w:rsid w:val="009E04DD"/>
    <w:rsid w:val="009E30ED"/>
    <w:rsid w:val="009E3ACB"/>
    <w:rsid w:val="009E51CF"/>
    <w:rsid w:val="009E7939"/>
    <w:rsid w:val="009F0485"/>
    <w:rsid w:val="009F05D0"/>
    <w:rsid w:val="009F0896"/>
    <w:rsid w:val="009F13FC"/>
    <w:rsid w:val="009F1ABF"/>
    <w:rsid w:val="009F42A7"/>
    <w:rsid w:val="009F495F"/>
    <w:rsid w:val="009F5D3C"/>
    <w:rsid w:val="009F5DC6"/>
    <w:rsid w:val="00A00805"/>
    <w:rsid w:val="00A00C54"/>
    <w:rsid w:val="00A01289"/>
    <w:rsid w:val="00A0258F"/>
    <w:rsid w:val="00A03E08"/>
    <w:rsid w:val="00A041A9"/>
    <w:rsid w:val="00A07085"/>
    <w:rsid w:val="00A10A53"/>
    <w:rsid w:val="00A117BE"/>
    <w:rsid w:val="00A13085"/>
    <w:rsid w:val="00A13DA3"/>
    <w:rsid w:val="00A13FE7"/>
    <w:rsid w:val="00A15670"/>
    <w:rsid w:val="00A22C6A"/>
    <w:rsid w:val="00A232C1"/>
    <w:rsid w:val="00A24727"/>
    <w:rsid w:val="00A25F23"/>
    <w:rsid w:val="00A26141"/>
    <w:rsid w:val="00A26CD8"/>
    <w:rsid w:val="00A31FEE"/>
    <w:rsid w:val="00A32194"/>
    <w:rsid w:val="00A321DD"/>
    <w:rsid w:val="00A32665"/>
    <w:rsid w:val="00A330AB"/>
    <w:rsid w:val="00A334AB"/>
    <w:rsid w:val="00A33CF4"/>
    <w:rsid w:val="00A34F6C"/>
    <w:rsid w:val="00A37803"/>
    <w:rsid w:val="00A37976"/>
    <w:rsid w:val="00A40107"/>
    <w:rsid w:val="00A42B2E"/>
    <w:rsid w:val="00A430A8"/>
    <w:rsid w:val="00A43965"/>
    <w:rsid w:val="00A43A8F"/>
    <w:rsid w:val="00A43B37"/>
    <w:rsid w:val="00A4515C"/>
    <w:rsid w:val="00A452C8"/>
    <w:rsid w:val="00A46AF1"/>
    <w:rsid w:val="00A47EA0"/>
    <w:rsid w:val="00A505FF"/>
    <w:rsid w:val="00A53F48"/>
    <w:rsid w:val="00A543F4"/>
    <w:rsid w:val="00A546B8"/>
    <w:rsid w:val="00A54972"/>
    <w:rsid w:val="00A54DEC"/>
    <w:rsid w:val="00A5544B"/>
    <w:rsid w:val="00A55ECB"/>
    <w:rsid w:val="00A579F8"/>
    <w:rsid w:val="00A57B57"/>
    <w:rsid w:val="00A60353"/>
    <w:rsid w:val="00A619D8"/>
    <w:rsid w:val="00A6251F"/>
    <w:rsid w:val="00A62C43"/>
    <w:rsid w:val="00A653F3"/>
    <w:rsid w:val="00A66CEE"/>
    <w:rsid w:val="00A675B4"/>
    <w:rsid w:val="00A67E15"/>
    <w:rsid w:val="00A70C5E"/>
    <w:rsid w:val="00A7225A"/>
    <w:rsid w:val="00A72D1F"/>
    <w:rsid w:val="00A779CA"/>
    <w:rsid w:val="00A813C4"/>
    <w:rsid w:val="00A82521"/>
    <w:rsid w:val="00A82ABE"/>
    <w:rsid w:val="00A86F59"/>
    <w:rsid w:val="00A871A3"/>
    <w:rsid w:val="00A87787"/>
    <w:rsid w:val="00A90431"/>
    <w:rsid w:val="00A91028"/>
    <w:rsid w:val="00A91101"/>
    <w:rsid w:val="00A91276"/>
    <w:rsid w:val="00A92C58"/>
    <w:rsid w:val="00A93505"/>
    <w:rsid w:val="00A9386A"/>
    <w:rsid w:val="00A94BDF"/>
    <w:rsid w:val="00A95347"/>
    <w:rsid w:val="00A956EB"/>
    <w:rsid w:val="00A95FC3"/>
    <w:rsid w:val="00AA0970"/>
    <w:rsid w:val="00AA0D55"/>
    <w:rsid w:val="00AA1570"/>
    <w:rsid w:val="00AA455F"/>
    <w:rsid w:val="00AA53E5"/>
    <w:rsid w:val="00AA5E49"/>
    <w:rsid w:val="00AA6809"/>
    <w:rsid w:val="00AB01D5"/>
    <w:rsid w:val="00AB07FF"/>
    <w:rsid w:val="00AB16D9"/>
    <w:rsid w:val="00AB3514"/>
    <w:rsid w:val="00AB41A5"/>
    <w:rsid w:val="00AB4FF0"/>
    <w:rsid w:val="00AB5A0B"/>
    <w:rsid w:val="00AB7E38"/>
    <w:rsid w:val="00AC0185"/>
    <w:rsid w:val="00AC0199"/>
    <w:rsid w:val="00AC0670"/>
    <w:rsid w:val="00AC097F"/>
    <w:rsid w:val="00AC0CAA"/>
    <w:rsid w:val="00AC70EA"/>
    <w:rsid w:val="00AC7E8C"/>
    <w:rsid w:val="00AD2D89"/>
    <w:rsid w:val="00AD43DC"/>
    <w:rsid w:val="00AE002C"/>
    <w:rsid w:val="00AE0EAD"/>
    <w:rsid w:val="00AE29F7"/>
    <w:rsid w:val="00AE4236"/>
    <w:rsid w:val="00AE480C"/>
    <w:rsid w:val="00AE51B0"/>
    <w:rsid w:val="00AE591A"/>
    <w:rsid w:val="00AE7F3B"/>
    <w:rsid w:val="00AF259B"/>
    <w:rsid w:val="00AF3225"/>
    <w:rsid w:val="00AF3D5A"/>
    <w:rsid w:val="00AF712B"/>
    <w:rsid w:val="00B01547"/>
    <w:rsid w:val="00B01889"/>
    <w:rsid w:val="00B02B08"/>
    <w:rsid w:val="00B0348F"/>
    <w:rsid w:val="00B059BD"/>
    <w:rsid w:val="00B05B69"/>
    <w:rsid w:val="00B078EC"/>
    <w:rsid w:val="00B104BA"/>
    <w:rsid w:val="00B10CAB"/>
    <w:rsid w:val="00B10FFA"/>
    <w:rsid w:val="00B11671"/>
    <w:rsid w:val="00B1182E"/>
    <w:rsid w:val="00B11C79"/>
    <w:rsid w:val="00B123C0"/>
    <w:rsid w:val="00B15D1F"/>
    <w:rsid w:val="00B16A62"/>
    <w:rsid w:val="00B16BA1"/>
    <w:rsid w:val="00B17D73"/>
    <w:rsid w:val="00B20C71"/>
    <w:rsid w:val="00B20D0D"/>
    <w:rsid w:val="00B20FC6"/>
    <w:rsid w:val="00B21927"/>
    <w:rsid w:val="00B23BEE"/>
    <w:rsid w:val="00B24C34"/>
    <w:rsid w:val="00B27969"/>
    <w:rsid w:val="00B27F6B"/>
    <w:rsid w:val="00B30292"/>
    <w:rsid w:val="00B303D1"/>
    <w:rsid w:val="00B30409"/>
    <w:rsid w:val="00B3232C"/>
    <w:rsid w:val="00B32559"/>
    <w:rsid w:val="00B338EC"/>
    <w:rsid w:val="00B342A2"/>
    <w:rsid w:val="00B345B0"/>
    <w:rsid w:val="00B35201"/>
    <w:rsid w:val="00B35DEE"/>
    <w:rsid w:val="00B368BD"/>
    <w:rsid w:val="00B36C5A"/>
    <w:rsid w:val="00B36D65"/>
    <w:rsid w:val="00B37B70"/>
    <w:rsid w:val="00B40294"/>
    <w:rsid w:val="00B42C82"/>
    <w:rsid w:val="00B42CF6"/>
    <w:rsid w:val="00B42E13"/>
    <w:rsid w:val="00B4307D"/>
    <w:rsid w:val="00B43B19"/>
    <w:rsid w:val="00B43F8D"/>
    <w:rsid w:val="00B4503E"/>
    <w:rsid w:val="00B46126"/>
    <w:rsid w:val="00B50FDA"/>
    <w:rsid w:val="00B512FE"/>
    <w:rsid w:val="00B52794"/>
    <w:rsid w:val="00B53139"/>
    <w:rsid w:val="00B53E85"/>
    <w:rsid w:val="00B547E5"/>
    <w:rsid w:val="00B54837"/>
    <w:rsid w:val="00B54C9E"/>
    <w:rsid w:val="00B5556A"/>
    <w:rsid w:val="00B560AA"/>
    <w:rsid w:val="00B57A30"/>
    <w:rsid w:val="00B61ED5"/>
    <w:rsid w:val="00B63086"/>
    <w:rsid w:val="00B67DC9"/>
    <w:rsid w:val="00B7299D"/>
    <w:rsid w:val="00B7385F"/>
    <w:rsid w:val="00B74EDD"/>
    <w:rsid w:val="00B75411"/>
    <w:rsid w:val="00B756D9"/>
    <w:rsid w:val="00B762E9"/>
    <w:rsid w:val="00B80490"/>
    <w:rsid w:val="00B80578"/>
    <w:rsid w:val="00B82E1E"/>
    <w:rsid w:val="00B82F92"/>
    <w:rsid w:val="00B86834"/>
    <w:rsid w:val="00B86897"/>
    <w:rsid w:val="00B91541"/>
    <w:rsid w:val="00B92219"/>
    <w:rsid w:val="00B9399D"/>
    <w:rsid w:val="00B94DAE"/>
    <w:rsid w:val="00B978C6"/>
    <w:rsid w:val="00BA11F0"/>
    <w:rsid w:val="00BA13A3"/>
    <w:rsid w:val="00BA1C0F"/>
    <w:rsid w:val="00BA2827"/>
    <w:rsid w:val="00BA3761"/>
    <w:rsid w:val="00BA4E90"/>
    <w:rsid w:val="00BA54D0"/>
    <w:rsid w:val="00BA5B76"/>
    <w:rsid w:val="00BA6C68"/>
    <w:rsid w:val="00BA7161"/>
    <w:rsid w:val="00BB0066"/>
    <w:rsid w:val="00BB1568"/>
    <w:rsid w:val="00BB2910"/>
    <w:rsid w:val="00BB3016"/>
    <w:rsid w:val="00BB368C"/>
    <w:rsid w:val="00BB39B5"/>
    <w:rsid w:val="00BB6B7A"/>
    <w:rsid w:val="00BB74CD"/>
    <w:rsid w:val="00BB7985"/>
    <w:rsid w:val="00BC14C3"/>
    <w:rsid w:val="00BC1CBA"/>
    <w:rsid w:val="00BC1D4E"/>
    <w:rsid w:val="00BC2B68"/>
    <w:rsid w:val="00BC3AEA"/>
    <w:rsid w:val="00BC4859"/>
    <w:rsid w:val="00BC4AD8"/>
    <w:rsid w:val="00BC4B8D"/>
    <w:rsid w:val="00BC5470"/>
    <w:rsid w:val="00BC55DF"/>
    <w:rsid w:val="00BC575F"/>
    <w:rsid w:val="00BC6F10"/>
    <w:rsid w:val="00BC753F"/>
    <w:rsid w:val="00BC781E"/>
    <w:rsid w:val="00BC7E81"/>
    <w:rsid w:val="00BD0BF3"/>
    <w:rsid w:val="00BD19FE"/>
    <w:rsid w:val="00BD21BC"/>
    <w:rsid w:val="00BD48C2"/>
    <w:rsid w:val="00BD6669"/>
    <w:rsid w:val="00BD685D"/>
    <w:rsid w:val="00BD6ADD"/>
    <w:rsid w:val="00BD725C"/>
    <w:rsid w:val="00BE26FE"/>
    <w:rsid w:val="00BE27FF"/>
    <w:rsid w:val="00BE34A0"/>
    <w:rsid w:val="00BE35B5"/>
    <w:rsid w:val="00BE52AB"/>
    <w:rsid w:val="00BE5A19"/>
    <w:rsid w:val="00BE62E3"/>
    <w:rsid w:val="00BE7448"/>
    <w:rsid w:val="00BF13D0"/>
    <w:rsid w:val="00BF1B7F"/>
    <w:rsid w:val="00BF30DA"/>
    <w:rsid w:val="00BF3234"/>
    <w:rsid w:val="00BF408A"/>
    <w:rsid w:val="00BF45E6"/>
    <w:rsid w:val="00BF48D5"/>
    <w:rsid w:val="00BF7735"/>
    <w:rsid w:val="00BF7DEE"/>
    <w:rsid w:val="00C05A4D"/>
    <w:rsid w:val="00C06B72"/>
    <w:rsid w:val="00C06C6D"/>
    <w:rsid w:val="00C10807"/>
    <w:rsid w:val="00C108F7"/>
    <w:rsid w:val="00C1178C"/>
    <w:rsid w:val="00C136DA"/>
    <w:rsid w:val="00C139AF"/>
    <w:rsid w:val="00C151B5"/>
    <w:rsid w:val="00C1622F"/>
    <w:rsid w:val="00C2030F"/>
    <w:rsid w:val="00C21572"/>
    <w:rsid w:val="00C215CE"/>
    <w:rsid w:val="00C264AE"/>
    <w:rsid w:val="00C271CB"/>
    <w:rsid w:val="00C27207"/>
    <w:rsid w:val="00C274A5"/>
    <w:rsid w:val="00C31E7E"/>
    <w:rsid w:val="00C32BEC"/>
    <w:rsid w:val="00C32E00"/>
    <w:rsid w:val="00C35FF3"/>
    <w:rsid w:val="00C40D77"/>
    <w:rsid w:val="00C4362F"/>
    <w:rsid w:val="00C44055"/>
    <w:rsid w:val="00C46124"/>
    <w:rsid w:val="00C46ABE"/>
    <w:rsid w:val="00C5158D"/>
    <w:rsid w:val="00C5161E"/>
    <w:rsid w:val="00C54B8E"/>
    <w:rsid w:val="00C557F9"/>
    <w:rsid w:val="00C56CFE"/>
    <w:rsid w:val="00C601F3"/>
    <w:rsid w:val="00C60387"/>
    <w:rsid w:val="00C619B7"/>
    <w:rsid w:val="00C61AF2"/>
    <w:rsid w:val="00C61E0D"/>
    <w:rsid w:val="00C63025"/>
    <w:rsid w:val="00C63573"/>
    <w:rsid w:val="00C63872"/>
    <w:rsid w:val="00C642B4"/>
    <w:rsid w:val="00C64E99"/>
    <w:rsid w:val="00C6550E"/>
    <w:rsid w:val="00C66C03"/>
    <w:rsid w:val="00C66CB0"/>
    <w:rsid w:val="00C66D74"/>
    <w:rsid w:val="00C6766C"/>
    <w:rsid w:val="00C678D0"/>
    <w:rsid w:val="00C7237D"/>
    <w:rsid w:val="00C72AC1"/>
    <w:rsid w:val="00C72B6F"/>
    <w:rsid w:val="00C76944"/>
    <w:rsid w:val="00C76A41"/>
    <w:rsid w:val="00C76D1D"/>
    <w:rsid w:val="00C77172"/>
    <w:rsid w:val="00C80606"/>
    <w:rsid w:val="00C80A95"/>
    <w:rsid w:val="00C83C20"/>
    <w:rsid w:val="00C83EE9"/>
    <w:rsid w:val="00C83F7B"/>
    <w:rsid w:val="00C841B2"/>
    <w:rsid w:val="00C90FA5"/>
    <w:rsid w:val="00C91AC8"/>
    <w:rsid w:val="00C91EE1"/>
    <w:rsid w:val="00C9290C"/>
    <w:rsid w:val="00C9396A"/>
    <w:rsid w:val="00C94045"/>
    <w:rsid w:val="00C94174"/>
    <w:rsid w:val="00C94C38"/>
    <w:rsid w:val="00C94DAB"/>
    <w:rsid w:val="00C975B5"/>
    <w:rsid w:val="00CA0081"/>
    <w:rsid w:val="00CA1366"/>
    <w:rsid w:val="00CA17BB"/>
    <w:rsid w:val="00CA388A"/>
    <w:rsid w:val="00CA53DD"/>
    <w:rsid w:val="00CB7C76"/>
    <w:rsid w:val="00CC16D1"/>
    <w:rsid w:val="00CC1987"/>
    <w:rsid w:val="00CC3A8B"/>
    <w:rsid w:val="00CC5EEF"/>
    <w:rsid w:val="00CC5FEC"/>
    <w:rsid w:val="00CD0C86"/>
    <w:rsid w:val="00CD10D7"/>
    <w:rsid w:val="00CD2FDC"/>
    <w:rsid w:val="00CD33AF"/>
    <w:rsid w:val="00CD4CC6"/>
    <w:rsid w:val="00CD7F35"/>
    <w:rsid w:val="00CE032A"/>
    <w:rsid w:val="00CE0BC2"/>
    <w:rsid w:val="00CE1EB6"/>
    <w:rsid w:val="00CE3CF9"/>
    <w:rsid w:val="00CE42C7"/>
    <w:rsid w:val="00CE50F7"/>
    <w:rsid w:val="00CE76DE"/>
    <w:rsid w:val="00CF0985"/>
    <w:rsid w:val="00CF406D"/>
    <w:rsid w:val="00CF5C38"/>
    <w:rsid w:val="00CF693D"/>
    <w:rsid w:val="00CF6EA4"/>
    <w:rsid w:val="00D027C4"/>
    <w:rsid w:val="00D03E61"/>
    <w:rsid w:val="00D04275"/>
    <w:rsid w:val="00D0752F"/>
    <w:rsid w:val="00D075B0"/>
    <w:rsid w:val="00D07E43"/>
    <w:rsid w:val="00D102BF"/>
    <w:rsid w:val="00D1130E"/>
    <w:rsid w:val="00D12234"/>
    <w:rsid w:val="00D1289F"/>
    <w:rsid w:val="00D138FB"/>
    <w:rsid w:val="00D13E68"/>
    <w:rsid w:val="00D15371"/>
    <w:rsid w:val="00D15415"/>
    <w:rsid w:val="00D17873"/>
    <w:rsid w:val="00D207FE"/>
    <w:rsid w:val="00D22A9C"/>
    <w:rsid w:val="00D24299"/>
    <w:rsid w:val="00D306B4"/>
    <w:rsid w:val="00D30BF6"/>
    <w:rsid w:val="00D315D9"/>
    <w:rsid w:val="00D31CCC"/>
    <w:rsid w:val="00D3474C"/>
    <w:rsid w:val="00D36A9A"/>
    <w:rsid w:val="00D37234"/>
    <w:rsid w:val="00D37A98"/>
    <w:rsid w:val="00D40C39"/>
    <w:rsid w:val="00D43574"/>
    <w:rsid w:val="00D439C6"/>
    <w:rsid w:val="00D45E82"/>
    <w:rsid w:val="00D4600C"/>
    <w:rsid w:val="00D47ECA"/>
    <w:rsid w:val="00D50EC0"/>
    <w:rsid w:val="00D5314D"/>
    <w:rsid w:val="00D54324"/>
    <w:rsid w:val="00D5441B"/>
    <w:rsid w:val="00D548D6"/>
    <w:rsid w:val="00D56098"/>
    <w:rsid w:val="00D5682F"/>
    <w:rsid w:val="00D57B31"/>
    <w:rsid w:val="00D651BE"/>
    <w:rsid w:val="00D65E01"/>
    <w:rsid w:val="00D66A83"/>
    <w:rsid w:val="00D67318"/>
    <w:rsid w:val="00D71D98"/>
    <w:rsid w:val="00D7289E"/>
    <w:rsid w:val="00D74C26"/>
    <w:rsid w:val="00D7527C"/>
    <w:rsid w:val="00D7594C"/>
    <w:rsid w:val="00D80458"/>
    <w:rsid w:val="00D81065"/>
    <w:rsid w:val="00D814D8"/>
    <w:rsid w:val="00D82507"/>
    <w:rsid w:val="00D9053A"/>
    <w:rsid w:val="00D90EF4"/>
    <w:rsid w:val="00D928E7"/>
    <w:rsid w:val="00D92CF7"/>
    <w:rsid w:val="00D9457D"/>
    <w:rsid w:val="00D94721"/>
    <w:rsid w:val="00D95AE0"/>
    <w:rsid w:val="00D96F37"/>
    <w:rsid w:val="00D97974"/>
    <w:rsid w:val="00DA1A02"/>
    <w:rsid w:val="00DA2742"/>
    <w:rsid w:val="00DA29FE"/>
    <w:rsid w:val="00DA3754"/>
    <w:rsid w:val="00DA3CD3"/>
    <w:rsid w:val="00DA450C"/>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4F7A"/>
    <w:rsid w:val="00DC6EC7"/>
    <w:rsid w:val="00DC7553"/>
    <w:rsid w:val="00DD0097"/>
    <w:rsid w:val="00DD1560"/>
    <w:rsid w:val="00DD2156"/>
    <w:rsid w:val="00DD2460"/>
    <w:rsid w:val="00DD3391"/>
    <w:rsid w:val="00DD406A"/>
    <w:rsid w:val="00DD5381"/>
    <w:rsid w:val="00DD66B3"/>
    <w:rsid w:val="00DD7B80"/>
    <w:rsid w:val="00DD7DFA"/>
    <w:rsid w:val="00DE0DA6"/>
    <w:rsid w:val="00DE2BD4"/>
    <w:rsid w:val="00DE32CE"/>
    <w:rsid w:val="00DE35EB"/>
    <w:rsid w:val="00DE3C38"/>
    <w:rsid w:val="00DF098F"/>
    <w:rsid w:val="00DF438D"/>
    <w:rsid w:val="00E01159"/>
    <w:rsid w:val="00E0181E"/>
    <w:rsid w:val="00E042B7"/>
    <w:rsid w:val="00E05F99"/>
    <w:rsid w:val="00E06073"/>
    <w:rsid w:val="00E06960"/>
    <w:rsid w:val="00E07950"/>
    <w:rsid w:val="00E11922"/>
    <w:rsid w:val="00E132EC"/>
    <w:rsid w:val="00E154FC"/>
    <w:rsid w:val="00E15682"/>
    <w:rsid w:val="00E16EB3"/>
    <w:rsid w:val="00E17AD2"/>
    <w:rsid w:val="00E208EA"/>
    <w:rsid w:val="00E20963"/>
    <w:rsid w:val="00E20EBB"/>
    <w:rsid w:val="00E21EED"/>
    <w:rsid w:val="00E2289B"/>
    <w:rsid w:val="00E23010"/>
    <w:rsid w:val="00E237E1"/>
    <w:rsid w:val="00E239D3"/>
    <w:rsid w:val="00E23B60"/>
    <w:rsid w:val="00E26004"/>
    <w:rsid w:val="00E271F0"/>
    <w:rsid w:val="00E30345"/>
    <w:rsid w:val="00E304F1"/>
    <w:rsid w:val="00E328CC"/>
    <w:rsid w:val="00E36764"/>
    <w:rsid w:val="00E36E51"/>
    <w:rsid w:val="00E41969"/>
    <w:rsid w:val="00E41FF8"/>
    <w:rsid w:val="00E4277C"/>
    <w:rsid w:val="00E4319D"/>
    <w:rsid w:val="00E446A7"/>
    <w:rsid w:val="00E44741"/>
    <w:rsid w:val="00E47250"/>
    <w:rsid w:val="00E53E96"/>
    <w:rsid w:val="00E612CB"/>
    <w:rsid w:val="00E61FA2"/>
    <w:rsid w:val="00E6327B"/>
    <w:rsid w:val="00E63387"/>
    <w:rsid w:val="00E63441"/>
    <w:rsid w:val="00E64566"/>
    <w:rsid w:val="00E64A66"/>
    <w:rsid w:val="00E64D23"/>
    <w:rsid w:val="00E656C6"/>
    <w:rsid w:val="00E6629F"/>
    <w:rsid w:val="00E701D4"/>
    <w:rsid w:val="00E72D55"/>
    <w:rsid w:val="00E735C0"/>
    <w:rsid w:val="00E75C01"/>
    <w:rsid w:val="00E76F13"/>
    <w:rsid w:val="00E76FC2"/>
    <w:rsid w:val="00E773AE"/>
    <w:rsid w:val="00E80B38"/>
    <w:rsid w:val="00E81003"/>
    <w:rsid w:val="00E819ED"/>
    <w:rsid w:val="00E81D83"/>
    <w:rsid w:val="00E820F6"/>
    <w:rsid w:val="00E82F73"/>
    <w:rsid w:val="00E8387F"/>
    <w:rsid w:val="00E850E8"/>
    <w:rsid w:val="00E8535D"/>
    <w:rsid w:val="00E85AD0"/>
    <w:rsid w:val="00E90C20"/>
    <w:rsid w:val="00E91FA2"/>
    <w:rsid w:val="00E94E72"/>
    <w:rsid w:val="00E95DC3"/>
    <w:rsid w:val="00EA0A04"/>
    <w:rsid w:val="00EA0A10"/>
    <w:rsid w:val="00EA0D42"/>
    <w:rsid w:val="00EA2689"/>
    <w:rsid w:val="00EA2C60"/>
    <w:rsid w:val="00EA57C6"/>
    <w:rsid w:val="00EA5A2B"/>
    <w:rsid w:val="00EA627D"/>
    <w:rsid w:val="00EA7D74"/>
    <w:rsid w:val="00EA7E4F"/>
    <w:rsid w:val="00EB22D4"/>
    <w:rsid w:val="00EB3B77"/>
    <w:rsid w:val="00EB4DC1"/>
    <w:rsid w:val="00EB726D"/>
    <w:rsid w:val="00EB786B"/>
    <w:rsid w:val="00EC0B0D"/>
    <w:rsid w:val="00EC0C73"/>
    <w:rsid w:val="00EC1754"/>
    <w:rsid w:val="00EC1F4C"/>
    <w:rsid w:val="00EC51CD"/>
    <w:rsid w:val="00EC5B90"/>
    <w:rsid w:val="00EC769A"/>
    <w:rsid w:val="00ED01B6"/>
    <w:rsid w:val="00ED08C9"/>
    <w:rsid w:val="00ED1710"/>
    <w:rsid w:val="00ED1D5D"/>
    <w:rsid w:val="00ED49B8"/>
    <w:rsid w:val="00ED4E41"/>
    <w:rsid w:val="00ED4EA0"/>
    <w:rsid w:val="00ED509E"/>
    <w:rsid w:val="00ED5226"/>
    <w:rsid w:val="00ED6531"/>
    <w:rsid w:val="00ED7EB7"/>
    <w:rsid w:val="00EE0DBB"/>
    <w:rsid w:val="00EE1782"/>
    <w:rsid w:val="00EE2F5B"/>
    <w:rsid w:val="00EE4363"/>
    <w:rsid w:val="00EE473D"/>
    <w:rsid w:val="00EE732B"/>
    <w:rsid w:val="00EE744D"/>
    <w:rsid w:val="00EF3895"/>
    <w:rsid w:val="00EF3B77"/>
    <w:rsid w:val="00EF6BD5"/>
    <w:rsid w:val="00EF7093"/>
    <w:rsid w:val="00EF71D2"/>
    <w:rsid w:val="00F00275"/>
    <w:rsid w:val="00F00A2C"/>
    <w:rsid w:val="00F01569"/>
    <w:rsid w:val="00F01B8A"/>
    <w:rsid w:val="00F0235E"/>
    <w:rsid w:val="00F03BB8"/>
    <w:rsid w:val="00F0407F"/>
    <w:rsid w:val="00F040B2"/>
    <w:rsid w:val="00F04447"/>
    <w:rsid w:val="00F061DF"/>
    <w:rsid w:val="00F06823"/>
    <w:rsid w:val="00F06C51"/>
    <w:rsid w:val="00F12428"/>
    <w:rsid w:val="00F12A50"/>
    <w:rsid w:val="00F13DFA"/>
    <w:rsid w:val="00F159CA"/>
    <w:rsid w:val="00F177B8"/>
    <w:rsid w:val="00F2086F"/>
    <w:rsid w:val="00F2103C"/>
    <w:rsid w:val="00F228D1"/>
    <w:rsid w:val="00F24429"/>
    <w:rsid w:val="00F271AF"/>
    <w:rsid w:val="00F27E2A"/>
    <w:rsid w:val="00F30080"/>
    <w:rsid w:val="00F3019B"/>
    <w:rsid w:val="00F31A5E"/>
    <w:rsid w:val="00F34403"/>
    <w:rsid w:val="00F34A67"/>
    <w:rsid w:val="00F35FEC"/>
    <w:rsid w:val="00F374D5"/>
    <w:rsid w:val="00F408F2"/>
    <w:rsid w:val="00F40989"/>
    <w:rsid w:val="00F40BA3"/>
    <w:rsid w:val="00F42155"/>
    <w:rsid w:val="00F42FEE"/>
    <w:rsid w:val="00F43855"/>
    <w:rsid w:val="00F44321"/>
    <w:rsid w:val="00F459E5"/>
    <w:rsid w:val="00F46E16"/>
    <w:rsid w:val="00F5137F"/>
    <w:rsid w:val="00F56BDA"/>
    <w:rsid w:val="00F6043E"/>
    <w:rsid w:val="00F60658"/>
    <w:rsid w:val="00F61142"/>
    <w:rsid w:val="00F61C83"/>
    <w:rsid w:val="00F61D57"/>
    <w:rsid w:val="00F626DB"/>
    <w:rsid w:val="00F62896"/>
    <w:rsid w:val="00F63E9E"/>
    <w:rsid w:val="00F648FC"/>
    <w:rsid w:val="00F64DEA"/>
    <w:rsid w:val="00F657F4"/>
    <w:rsid w:val="00F717D8"/>
    <w:rsid w:val="00F7238F"/>
    <w:rsid w:val="00F73CB2"/>
    <w:rsid w:val="00F740D9"/>
    <w:rsid w:val="00F74EF3"/>
    <w:rsid w:val="00F82162"/>
    <w:rsid w:val="00F837F5"/>
    <w:rsid w:val="00F863EA"/>
    <w:rsid w:val="00F865AF"/>
    <w:rsid w:val="00F92BA0"/>
    <w:rsid w:val="00F949FD"/>
    <w:rsid w:val="00F94DCD"/>
    <w:rsid w:val="00F956E3"/>
    <w:rsid w:val="00F958BD"/>
    <w:rsid w:val="00F95EA2"/>
    <w:rsid w:val="00F972FE"/>
    <w:rsid w:val="00F9769E"/>
    <w:rsid w:val="00FA0190"/>
    <w:rsid w:val="00FA0B26"/>
    <w:rsid w:val="00FA2080"/>
    <w:rsid w:val="00FA3CF7"/>
    <w:rsid w:val="00FA41D1"/>
    <w:rsid w:val="00FA5DB0"/>
    <w:rsid w:val="00FA71CB"/>
    <w:rsid w:val="00FA789F"/>
    <w:rsid w:val="00FB08FD"/>
    <w:rsid w:val="00FB16DF"/>
    <w:rsid w:val="00FB1FF0"/>
    <w:rsid w:val="00FB2528"/>
    <w:rsid w:val="00FB2D64"/>
    <w:rsid w:val="00FB384B"/>
    <w:rsid w:val="00FB39DC"/>
    <w:rsid w:val="00FB6732"/>
    <w:rsid w:val="00FB6A95"/>
    <w:rsid w:val="00FC0D1B"/>
    <w:rsid w:val="00FC1C09"/>
    <w:rsid w:val="00FC281B"/>
    <w:rsid w:val="00FC3258"/>
    <w:rsid w:val="00FC3C02"/>
    <w:rsid w:val="00FC4398"/>
    <w:rsid w:val="00FC5713"/>
    <w:rsid w:val="00FC57CF"/>
    <w:rsid w:val="00FC64AA"/>
    <w:rsid w:val="00FC69A8"/>
    <w:rsid w:val="00FD1084"/>
    <w:rsid w:val="00FD1243"/>
    <w:rsid w:val="00FD1717"/>
    <w:rsid w:val="00FD1A24"/>
    <w:rsid w:val="00FD1D04"/>
    <w:rsid w:val="00FD29B4"/>
    <w:rsid w:val="00FD32D1"/>
    <w:rsid w:val="00FD34FB"/>
    <w:rsid w:val="00FD64B2"/>
    <w:rsid w:val="00FD664B"/>
    <w:rsid w:val="00FE04E7"/>
    <w:rsid w:val="00FE1ABE"/>
    <w:rsid w:val="00FE2070"/>
    <w:rsid w:val="00FE3396"/>
    <w:rsid w:val="00FE368E"/>
    <w:rsid w:val="00FE36AE"/>
    <w:rsid w:val="00FF0567"/>
    <w:rsid w:val="00FF2390"/>
    <w:rsid w:val="00FF284F"/>
    <w:rsid w:val="00FF318E"/>
    <w:rsid w:val="00FF3E58"/>
    <w:rsid w:val="00FF4323"/>
    <w:rsid w:val="00FF4FC0"/>
    <w:rsid w:val="00FF5236"/>
    <w:rsid w:val="00FF5E72"/>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D212A-ADC5-4923-883D-2EADE57A4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2838</TotalTime>
  <Pages>7</Pages>
  <Words>2771</Words>
  <Characters>15798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Xingqin Lin</cp:lastModifiedBy>
  <cp:revision>857</cp:revision>
  <cp:lastPrinted>2015-07-20T19:34:00Z</cp:lastPrinted>
  <dcterms:created xsi:type="dcterms:W3CDTF">2015-09-03T17:40:00Z</dcterms:created>
  <dcterms:modified xsi:type="dcterms:W3CDTF">2016-01-12T01:18:00Z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